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9"/>
        <w:keepNext w:val="0"/>
        <w:keepLines w:val="0"/>
        <w:pageBreakBefore w:val="0"/>
        <w:widowControl/>
        <w:kinsoku/>
        <w:wordWrap/>
        <w:overflowPunct/>
        <w:topLinePunct w:val="0"/>
        <w:autoSpaceDN/>
        <w:bidi w:val="0"/>
        <w:adjustRightInd/>
        <w:spacing w:before="0" w:beforeAutospacing="0" w:after="0" w:afterAutospacing="0" w:line="596" w:lineRule="exact"/>
        <w:jc w:val="center"/>
        <w:textAlignment w:val="auto"/>
        <w:rPr>
          <w:rFonts w:ascii="方正小标宋_GBK" w:hAnsi="方正小标宋_GBK" w:eastAsia="方正小标宋_GBK" w:cs="方正小标宋_GBK"/>
          <w:sz w:val="36"/>
          <w:szCs w:val="36"/>
        </w:rPr>
      </w:pPr>
    </w:p>
    <w:p>
      <w:pPr>
        <w:pStyle w:val="9"/>
        <w:keepNext w:val="0"/>
        <w:keepLines w:val="0"/>
        <w:pageBreakBefore w:val="0"/>
        <w:widowControl/>
        <w:kinsoku/>
        <w:wordWrap/>
        <w:overflowPunct/>
        <w:topLinePunct w:val="0"/>
        <w:autoSpaceDN/>
        <w:bidi w:val="0"/>
        <w:adjustRightInd/>
        <w:spacing w:before="0" w:beforeAutospacing="0" w:after="0" w:afterAutospacing="0" w:line="596" w:lineRule="exact"/>
        <w:jc w:val="center"/>
        <w:textAlignment w:val="auto"/>
        <w:rPr>
          <w:rFonts w:hint="eastAsia" w:ascii="方正小标宋_GBK" w:hAnsi="方正小标宋_GBK" w:eastAsia="方正小标宋_GBK" w:cs="方正小标宋_GBK"/>
          <w:sz w:val="44"/>
          <w:szCs w:val="44"/>
        </w:rPr>
      </w:pPr>
      <w:r>
        <w:rPr>
          <w:rFonts w:hint="eastAsia" w:ascii="方正小标宋_GBK" w:hAnsi="方正小标宋_GBK" w:eastAsia="方正小标宋_GBK" w:cs="方正小标宋_GBK"/>
          <w:sz w:val="44"/>
          <w:szCs w:val="44"/>
        </w:rPr>
        <w:t>秀山土家族苗族自治县峨溶镇卫生院</w:t>
      </w:r>
    </w:p>
    <w:p>
      <w:pPr>
        <w:pStyle w:val="9"/>
        <w:keepNext w:val="0"/>
        <w:keepLines w:val="0"/>
        <w:pageBreakBefore w:val="0"/>
        <w:widowControl/>
        <w:kinsoku/>
        <w:wordWrap/>
        <w:overflowPunct/>
        <w:topLinePunct w:val="0"/>
        <w:autoSpaceDN/>
        <w:bidi w:val="0"/>
        <w:adjustRightInd/>
        <w:spacing w:before="0" w:beforeAutospacing="0" w:after="0" w:afterAutospacing="0" w:line="596" w:lineRule="exact"/>
        <w:jc w:val="center"/>
        <w:textAlignment w:val="auto"/>
        <w:rPr>
          <w:rFonts w:hint="eastAsia" w:ascii="方正小标宋_GBK" w:hAnsi="方正小标宋_GBK" w:eastAsia="方正小标宋_GBK" w:cs="方正小标宋_GBK"/>
          <w:sz w:val="44"/>
          <w:szCs w:val="44"/>
          <w:shd w:val="clear" w:color="auto" w:fill="FFFFFF"/>
        </w:rPr>
      </w:pPr>
      <w:r>
        <w:rPr>
          <w:rFonts w:hint="default" w:ascii="Times New Roman" w:hAnsi="Times New Roman" w:eastAsia="方正小标宋_GBK" w:cs="Times New Roman"/>
          <w:sz w:val="44"/>
          <w:szCs w:val="44"/>
          <w:shd w:val="clear" w:color="auto" w:fill="FFFFFF"/>
        </w:rPr>
        <w:t>2024</w:t>
      </w:r>
      <w:r>
        <w:rPr>
          <w:rFonts w:hint="eastAsia" w:ascii="方正小标宋_GBK" w:hAnsi="方正小标宋_GBK" w:eastAsia="方正小标宋_GBK" w:cs="方正小标宋_GBK"/>
          <w:sz w:val="44"/>
          <w:szCs w:val="44"/>
          <w:shd w:val="clear" w:color="auto" w:fill="FFFFFF"/>
        </w:rPr>
        <w:t>年度决算公开说明</w:t>
      </w:r>
    </w:p>
    <w:p>
      <w:pPr>
        <w:pStyle w:val="9"/>
        <w:keepNext w:val="0"/>
        <w:keepLines w:val="0"/>
        <w:pageBreakBefore w:val="0"/>
        <w:widowControl/>
        <w:kinsoku/>
        <w:wordWrap/>
        <w:overflowPunct/>
        <w:topLinePunct w:val="0"/>
        <w:autoSpaceDN/>
        <w:bidi w:val="0"/>
        <w:adjustRightInd/>
        <w:spacing w:before="0" w:beforeAutospacing="0" w:after="0" w:afterAutospacing="0" w:line="596" w:lineRule="exact"/>
        <w:jc w:val="center"/>
        <w:textAlignment w:val="auto"/>
        <w:rPr>
          <w:rFonts w:hint="eastAsia" w:ascii="方正小标宋_GBK" w:hAnsi="方正小标宋_GBK" w:eastAsia="方正小标宋_GBK" w:cs="方正小标宋_GBK"/>
          <w:sz w:val="44"/>
          <w:szCs w:val="44"/>
          <w:shd w:val="clear" w:color="auto" w:fill="FFFFFF"/>
        </w:rPr>
      </w:pPr>
    </w:p>
    <w:p>
      <w:pPr>
        <w:pStyle w:val="9"/>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Style w:val="11"/>
          <w:rFonts w:hint="eastAsia" w:ascii="方正黑体_GBK" w:hAnsi="方正黑体_GBK" w:eastAsia="方正黑体_GBK" w:cs="方正黑体_GBK"/>
          <w:b w:val="0"/>
          <w:bCs/>
          <w:sz w:val="32"/>
          <w:szCs w:val="32"/>
          <w:shd w:val="clear" w:color="auto" w:fill="FFFFFF"/>
        </w:rPr>
      </w:pPr>
      <w:r>
        <w:rPr>
          <w:rStyle w:val="11"/>
          <w:rFonts w:hint="eastAsia" w:ascii="方正黑体_GBK" w:hAnsi="方正黑体_GBK" w:eastAsia="方正黑体_GBK" w:cs="方正黑体_GBK"/>
          <w:b w:val="0"/>
          <w:bCs/>
          <w:sz w:val="32"/>
          <w:szCs w:val="32"/>
          <w:shd w:val="clear" w:color="auto" w:fill="FFFFFF"/>
        </w:rPr>
        <w:t>一、</w:t>
      </w:r>
      <w:r>
        <w:rPr>
          <w:rStyle w:val="11"/>
          <w:rFonts w:hint="eastAsia" w:ascii="方正黑体_GBK" w:hAnsi="方正黑体_GBK" w:eastAsia="方正黑体_GBK" w:cs="方正黑体_GBK"/>
          <w:b w:val="0"/>
          <w:bCs/>
          <w:sz w:val="32"/>
          <w:szCs w:val="32"/>
          <w:shd w:val="clear" w:color="auto" w:fill="FFFFFF"/>
          <w:lang w:eastAsia="zh-CN"/>
        </w:rPr>
        <w:t>单位</w:t>
      </w:r>
      <w:r>
        <w:rPr>
          <w:rStyle w:val="11"/>
          <w:rFonts w:hint="eastAsia" w:ascii="方正黑体_GBK" w:hAnsi="方正黑体_GBK" w:eastAsia="方正黑体_GBK" w:cs="方正黑体_GBK"/>
          <w:b w:val="0"/>
          <w:bCs/>
          <w:sz w:val="32"/>
          <w:szCs w:val="32"/>
          <w:shd w:val="clear" w:color="auto" w:fill="FFFFFF"/>
        </w:rPr>
        <w:t>基本情况</w:t>
      </w:r>
    </w:p>
    <w:p>
      <w:pPr>
        <w:pStyle w:val="9"/>
        <w:keepNext w:val="0"/>
        <w:keepLines w:val="0"/>
        <w:pageBreakBefore w:val="0"/>
        <w:widowControl/>
        <w:shd w:val="clear" w:color="auto" w:fill="FFFFFF"/>
        <w:kinsoku/>
        <w:wordWrap/>
        <w:overflowPunct/>
        <w:topLinePunct w:val="0"/>
        <w:autoSpaceDE/>
        <w:autoSpaceDN/>
        <w:bidi w:val="0"/>
        <w:adjustRightInd w:val="0"/>
        <w:snapToGrid w:val="0"/>
        <w:spacing w:before="0" w:beforeAutospacing="0" w:after="0" w:afterAutospacing="0" w:line="560" w:lineRule="exact"/>
        <w:ind w:firstLine="640" w:firstLineChars="200"/>
        <w:jc w:val="both"/>
        <w:textAlignment w:val="auto"/>
        <w:rPr>
          <w:rFonts w:hint="default" w:ascii="Times New Roman" w:hAnsi="Times New Roman" w:eastAsia="方正楷体_GBK" w:cs="Times New Roman"/>
          <w:b w:val="0"/>
          <w:bCs w:val="0"/>
          <w:color w:val="auto"/>
          <w:sz w:val="32"/>
          <w:szCs w:val="32"/>
        </w:rPr>
      </w:pPr>
      <w:r>
        <w:rPr>
          <w:rStyle w:val="11"/>
          <w:rFonts w:hint="default" w:ascii="Times New Roman" w:hAnsi="Times New Roman" w:eastAsia="方正楷体_GBK" w:cs="Times New Roman"/>
          <w:b w:val="0"/>
          <w:bCs w:val="0"/>
          <w:color w:val="auto"/>
          <w:sz w:val="32"/>
          <w:szCs w:val="32"/>
          <w:shd w:val="clear" w:color="auto" w:fill="FFFFFF"/>
        </w:rPr>
        <w:t>（一）职能职责</w:t>
      </w:r>
    </w:p>
    <w:p>
      <w:pPr>
        <w:pStyle w:val="15"/>
        <w:keepNext w:val="0"/>
        <w:keepLines w:val="0"/>
        <w:pageBreakBefore w:val="0"/>
        <w:widowControl/>
        <w:kinsoku/>
        <w:wordWrap/>
        <w:overflowPunct/>
        <w:topLinePunct w:val="0"/>
        <w:autoSpaceDN/>
        <w:bidi w:val="0"/>
        <w:adjustRightInd w:val="0"/>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val="0"/>
          <w:color w:val="auto"/>
          <w:sz w:val="32"/>
          <w:szCs w:val="32"/>
        </w:rPr>
      </w:pPr>
      <w:r>
        <w:rPr>
          <w:rFonts w:hint="default" w:ascii="Times New Roman" w:hAnsi="Times New Roman" w:eastAsia="方正仿宋_GBK" w:cs="Times New Roman"/>
          <w:b w:val="0"/>
          <w:bCs w:val="0"/>
          <w:color w:val="auto"/>
          <w:sz w:val="32"/>
          <w:szCs w:val="32"/>
        </w:rPr>
        <w:t>本单位属基层医疗卫生机构，为非盈利性医疗机构，应当为居民提供基本医疗和基本公共卫生服务。基层医疗卫生机构应当使用与其能力相适应的技术、设备和药物，按照规范诊疗程序开展常见病、多发病的诊疗和部分疾病的康复、护理，提供中医药诊疗、双向转诊、现场急诊急救等医疗服务。本单位为乡镇卫生院，应当履行以下公共卫生职责：</w:t>
      </w:r>
    </w:p>
    <w:p>
      <w:pPr>
        <w:pStyle w:val="3"/>
        <w:keepNext w:val="0"/>
        <w:keepLines w:val="0"/>
        <w:pageBreakBefore w:val="0"/>
        <w:widowControl/>
        <w:kinsoku/>
        <w:wordWrap/>
        <w:overflowPunct/>
        <w:topLinePunct w:val="0"/>
        <w:autoSpaceDE w:val="0"/>
        <w:autoSpaceDN/>
        <w:bidi w:val="0"/>
        <w:adjustRightInd w:val="0"/>
        <w:snapToGrid w:val="0"/>
        <w:spacing w:beforeAutospacing="0" w:afterAutospacing="0" w:line="560" w:lineRule="exact"/>
        <w:ind w:left="0" w:firstLine="640" w:firstLineChars="200"/>
        <w:jc w:val="both"/>
        <w:textAlignment w:val="auto"/>
        <w:outlineLvl w:val="9"/>
        <w:rPr>
          <w:rFonts w:hint="eastAsia" w:ascii="Times New Roman" w:hAnsi="Times New Roman" w:eastAsia="方正仿宋_GBK" w:cs="Times New Roman"/>
          <w:b w:val="0"/>
          <w:bCs w:val="0"/>
          <w:color w:val="auto"/>
          <w:sz w:val="32"/>
          <w:szCs w:val="32"/>
          <w:lang w:eastAsia="zh-CN"/>
        </w:rPr>
      </w:pPr>
      <w:r>
        <w:rPr>
          <w:rFonts w:hint="default" w:ascii="Times New Roman" w:hAnsi="Times New Roman" w:eastAsia="方正仿宋_GBK" w:cs="Times New Roman"/>
          <w:b w:val="0"/>
          <w:bCs w:val="0"/>
          <w:color w:val="auto"/>
          <w:sz w:val="32"/>
          <w:szCs w:val="32"/>
        </w:rPr>
        <w:t>1.根据国家和本市规定收集、报送辖区内卫生健康信息，建立和管理居民健康档案，提出改进辖区公共卫生状况的建议</w:t>
      </w:r>
      <w:r>
        <w:rPr>
          <w:rFonts w:hint="eastAsia" w:ascii="Times New Roman" w:hAnsi="Times New Roman" w:eastAsia="方正仿宋_GBK" w:cs="Times New Roman"/>
          <w:b w:val="0"/>
          <w:bCs w:val="0"/>
          <w:color w:val="auto"/>
          <w:sz w:val="32"/>
          <w:szCs w:val="32"/>
          <w:lang w:eastAsia="zh-CN"/>
        </w:rPr>
        <w:t>。</w:t>
      </w:r>
    </w:p>
    <w:p>
      <w:pPr>
        <w:pStyle w:val="3"/>
        <w:keepNext w:val="0"/>
        <w:keepLines w:val="0"/>
        <w:pageBreakBefore w:val="0"/>
        <w:widowControl/>
        <w:kinsoku/>
        <w:wordWrap/>
        <w:overflowPunct/>
        <w:topLinePunct w:val="0"/>
        <w:autoSpaceDE w:val="0"/>
        <w:autoSpaceDN/>
        <w:bidi w:val="0"/>
        <w:adjustRightInd w:val="0"/>
        <w:snapToGrid w:val="0"/>
        <w:spacing w:beforeAutospacing="0" w:afterAutospacing="0" w:line="560" w:lineRule="exact"/>
        <w:ind w:left="0" w:firstLine="640" w:firstLineChars="200"/>
        <w:jc w:val="both"/>
        <w:textAlignment w:val="auto"/>
        <w:outlineLvl w:val="9"/>
        <w:rPr>
          <w:rFonts w:hint="eastAsia" w:ascii="Times New Roman" w:hAnsi="Times New Roman" w:eastAsia="方正仿宋_GBK" w:cs="Times New Roman"/>
          <w:b w:val="0"/>
          <w:bCs w:val="0"/>
          <w:color w:val="auto"/>
          <w:sz w:val="32"/>
          <w:szCs w:val="32"/>
          <w:lang w:eastAsia="zh-CN"/>
        </w:rPr>
      </w:pPr>
      <w:r>
        <w:rPr>
          <w:rFonts w:hint="default" w:ascii="Times New Roman" w:hAnsi="Times New Roman" w:eastAsia="方正仿宋_GBK" w:cs="Times New Roman"/>
          <w:b w:val="0"/>
          <w:bCs w:val="0"/>
          <w:color w:val="auto"/>
          <w:sz w:val="32"/>
          <w:szCs w:val="32"/>
        </w:rPr>
        <w:t>2.开展健康教育，普及健康知识</w:t>
      </w:r>
      <w:r>
        <w:rPr>
          <w:rFonts w:hint="eastAsia" w:ascii="Times New Roman" w:hAnsi="Times New Roman" w:eastAsia="方正仿宋_GBK" w:cs="Times New Roman"/>
          <w:b w:val="0"/>
          <w:bCs w:val="0"/>
          <w:color w:val="auto"/>
          <w:sz w:val="32"/>
          <w:szCs w:val="32"/>
          <w:lang w:eastAsia="zh-CN"/>
        </w:rPr>
        <w:t>。</w:t>
      </w:r>
    </w:p>
    <w:p>
      <w:pPr>
        <w:pStyle w:val="3"/>
        <w:keepNext w:val="0"/>
        <w:keepLines w:val="0"/>
        <w:pageBreakBefore w:val="0"/>
        <w:widowControl/>
        <w:kinsoku/>
        <w:wordWrap/>
        <w:overflowPunct/>
        <w:topLinePunct w:val="0"/>
        <w:autoSpaceDE w:val="0"/>
        <w:autoSpaceDN/>
        <w:bidi w:val="0"/>
        <w:adjustRightInd w:val="0"/>
        <w:snapToGrid w:val="0"/>
        <w:spacing w:beforeAutospacing="0" w:afterAutospacing="0" w:line="560" w:lineRule="exact"/>
        <w:ind w:left="0" w:firstLine="640" w:firstLineChars="200"/>
        <w:jc w:val="both"/>
        <w:textAlignment w:val="auto"/>
        <w:outlineLvl w:val="9"/>
        <w:rPr>
          <w:rFonts w:hint="eastAsia" w:ascii="Times New Roman" w:hAnsi="Times New Roman" w:eastAsia="方正仿宋_GBK" w:cs="Times New Roman"/>
          <w:b w:val="0"/>
          <w:bCs w:val="0"/>
          <w:color w:val="auto"/>
          <w:sz w:val="32"/>
          <w:szCs w:val="32"/>
          <w:lang w:eastAsia="zh-CN"/>
        </w:rPr>
      </w:pPr>
      <w:r>
        <w:rPr>
          <w:rFonts w:hint="default" w:ascii="Times New Roman" w:hAnsi="Times New Roman" w:eastAsia="方正仿宋_GBK" w:cs="Times New Roman"/>
          <w:b w:val="0"/>
          <w:bCs w:val="0"/>
          <w:color w:val="auto"/>
          <w:sz w:val="32"/>
          <w:szCs w:val="32"/>
        </w:rPr>
        <w:t>3.协助开展传染病以及地方病、寄生虫病的预防控制，配合开展爱国卫生工作</w:t>
      </w:r>
      <w:r>
        <w:rPr>
          <w:rFonts w:hint="eastAsia" w:ascii="Times New Roman" w:hAnsi="Times New Roman" w:eastAsia="方正仿宋_GBK" w:cs="Times New Roman"/>
          <w:b w:val="0"/>
          <w:bCs w:val="0"/>
          <w:color w:val="auto"/>
          <w:sz w:val="32"/>
          <w:szCs w:val="32"/>
          <w:lang w:eastAsia="zh-CN"/>
        </w:rPr>
        <w:t>。</w:t>
      </w:r>
    </w:p>
    <w:p>
      <w:pPr>
        <w:pStyle w:val="3"/>
        <w:keepNext w:val="0"/>
        <w:keepLines w:val="0"/>
        <w:pageBreakBefore w:val="0"/>
        <w:widowControl/>
        <w:kinsoku/>
        <w:wordWrap/>
        <w:overflowPunct/>
        <w:topLinePunct w:val="0"/>
        <w:autoSpaceDE w:val="0"/>
        <w:autoSpaceDN/>
        <w:bidi w:val="0"/>
        <w:adjustRightInd w:val="0"/>
        <w:snapToGrid w:val="0"/>
        <w:spacing w:beforeAutospacing="0" w:afterAutospacing="0" w:line="560" w:lineRule="exact"/>
        <w:ind w:left="0" w:firstLine="640" w:firstLineChars="200"/>
        <w:jc w:val="both"/>
        <w:textAlignment w:val="auto"/>
        <w:outlineLvl w:val="9"/>
        <w:rPr>
          <w:rFonts w:hint="eastAsia" w:ascii="Times New Roman" w:hAnsi="Times New Roman" w:eastAsia="方正仿宋_GBK" w:cs="Times New Roman"/>
          <w:b w:val="0"/>
          <w:bCs w:val="0"/>
          <w:color w:val="auto"/>
          <w:sz w:val="32"/>
          <w:szCs w:val="32"/>
          <w:lang w:eastAsia="zh-CN"/>
        </w:rPr>
      </w:pPr>
      <w:r>
        <w:rPr>
          <w:rFonts w:hint="default" w:ascii="Times New Roman" w:hAnsi="Times New Roman" w:eastAsia="方正仿宋_GBK" w:cs="Times New Roman"/>
          <w:b w:val="0"/>
          <w:bCs w:val="0"/>
          <w:color w:val="auto"/>
          <w:sz w:val="32"/>
          <w:szCs w:val="32"/>
        </w:rPr>
        <w:t>4.做好高危人群、重点慢性病患者的筛查和病例管理</w:t>
      </w:r>
      <w:r>
        <w:rPr>
          <w:rFonts w:hint="eastAsia" w:ascii="Times New Roman" w:hAnsi="Times New Roman" w:eastAsia="方正仿宋_GBK" w:cs="Times New Roman"/>
          <w:b w:val="0"/>
          <w:bCs w:val="0"/>
          <w:color w:val="auto"/>
          <w:sz w:val="32"/>
          <w:szCs w:val="32"/>
          <w:lang w:eastAsia="zh-CN"/>
        </w:rPr>
        <w:t>。</w:t>
      </w:r>
    </w:p>
    <w:p>
      <w:pPr>
        <w:pStyle w:val="3"/>
        <w:keepNext w:val="0"/>
        <w:keepLines w:val="0"/>
        <w:pageBreakBefore w:val="0"/>
        <w:widowControl/>
        <w:kinsoku/>
        <w:wordWrap/>
        <w:overflowPunct/>
        <w:topLinePunct w:val="0"/>
        <w:autoSpaceDE w:val="0"/>
        <w:autoSpaceDN/>
        <w:bidi w:val="0"/>
        <w:adjustRightInd w:val="0"/>
        <w:snapToGrid w:val="0"/>
        <w:spacing w:beforeAutospacing="0" w:afterAutospacing="0" w:line="560" w:lineRule="exact"/>
        <w:ind w:left="0" w:firstLine="640" w:firstLineChars="200"/>
        <w:jc w:val="both"/>
        <w:textAlignment w:val="auto"/>
        <w:outlineLvl w:val="9"/>
        <w:rPr>
          <w:rFonts w:hint="eastAsia" w:ascii="Times New Roman" w:hAnsi="Times New Roman" w:eastAsia="方正仿宋_GBK" w:cs="Times New Roman"/>
          <w:b w:val="0"/>
          <w:bCs w:val="0"/>
          <w:color w:val="auto"/>
          <w:sz w:val="32"/>
          <w:szCs w:val="32"/>
          <w:lang w:eastAsia="zh-CN"/>
        </w:rPr>
      </w:pPr>
      <w:r>
        <w:rPr>
          <w:rFonts w:hint="default" w:ascii="Times New Roman" w:hAnsi="Times New Roman" w:eastAsia="方正仿宋_GBK" w:cs="Times New Roman"/>
          <w:b w:val="0"/>
          <w:bCs w:val="0"/>
          <w:color w:val="auto"/>
          <w:sz w:val="32"/>
          <w:szCs w:val="32"/>
        </w:rPr>
        <w:t>5.提供心理健康指导服务，实施精神病社区管理</w:t>
      </w:r>
      <w:r>
        <w:rPr>
          <w:rFonts w:hint="eastAsia" w:ascii="Times New Roman" w:hAnsi="Times New Roman" w:eastAsia="方正仿宋_GBK" w:cs="Times New Roman"/>
          <w:b w:val="0"/>
          <w:bCs w:val="0"/>
          <w:color w:val="auto"/>
          <w:sz w:val="32"/>
          <w:szCs w:val="32"/>
          <w:lang w:eastAsia="zh-CN"/>
        </w:rPr>
        <w:t>。</w:t>
      </w:r>
    </w:p>
    <w:p>
      <w:pPr>
        <w:pStyle w:val="3"/>
        <w:keepNext w:val="0"/>
        <w:keepLines w:val="0"/>
        <w:pageBreakBefore w:val="0"/>
        <w:widowControl/>
        <w:kinsoku/>
        <w:wordWrap/>
        <w:overflowPunct/>
        <w:topLinePunct w:val="0"/>
        <w:autoSpaceDE w:val="0"/>
        <w:autoSpaceDN/>
        <w:bidi w:val="0"/>
        <w:adjustRightInd w:val="0"/>
        <w:snapToGrid w:val="0"/>
        <w:spacing w:beforeAutospacing="0" w:afterAutospacing="0" w:line="560" w:lineRule="exact"/>
        <w:ind w:left="0" w:right="278" w:firstLine="640" w:firstLineChars="200"/>
        <w:jc w:val="both"/>
        <w:textAlignment w:val="auto"/>
        <w:outlineLvl w:val="9"/>
        <w:rPr>
          <w:rFonts w:hint="eastAsia" w:ascii="Times New Roman" w:hAnsi="Times New Roman" w:eastAsia="方正仿宋_GBK" w:cs="Times New Roman"/>
          <w:b w:val="0"/>
          <w:bCs w:val="0"/>
          <w:color w:val="auto"/>
          <w:sz w:val="32"/>
          <w:szCs w:val="32"/>
          <w:lang w:eastAsia="zh-CN"/>
        </w:rPr>
      </w:pPr>
      <w:r>
        <w:rPr>
          <w:rFonts w:hint="default" w:ascii="Times New Roman" w:hAnsi="Times New Roman" w:eastAsia="方正仿宋_GBK" w:cs="Times New Roman"/>
          <w:b w:val="0"/>
          <w:bCs w:val="0"/>
          <w:color w:val="auto"/>
          <w:sz w:val="32"/>
          <w:szCs w:val="32"/>
        </w:rPr>
        <w:t>6.为妇女、儿童、老年人、残疾人等重点人群提供保健和康复服务</w:t>
      </w:r>
      <w:r>
        <w:rPr>
          <w:rFonts w:hint="eastAsia" w:ascii="Times New Roman" w:hAnsi="Times New Roman" w:eastAsia="方正仿宋_GBK" w:cs="Times New Roman"/>
          <w:b w:val="0"/>
          <w:bCs w:val="0"/>
          <w:color w:val="auto"/>
          <w:sz w:val="32"/>
          <w:szCs w:val="32"/>
          <w:lang w:eastAsia="zh-CN"/>
        </w:rPr>
        <w:t>。</w:t>
      </w:r>
    </w:p>
    <w:p>
      <w:pPr>
        <w:pStyle w:val="3"/>
        <w:keepNext w:val="0"/>
        <w:keepLines w:val="0"/>
        <w:pageBreakBefore w:val="0"/>
        <w:widowControl/>
        <w:kinsoku/>
        <w:wordWrap/>
        <w:overflowPunct/>
        <w:topLinePunct w:val="0"/>
        <w:autoSpaceDE w:val="0"/>
        <w:autoSpaceDN/>
        <w:bidi w:val="0"/>
        <w:adjustRightInd w:val="0"/>
        <w:snapToGrid w:val="0"/>
        <w:spacing w:beforeAutospacing="0" w:afterAutospacing="0" w:line="560" w:lineRule="exact"/>
        <w:ind w:left="0" w:right="278" w:firstLine="640" w:firstLineChars="200"/>
        <w:jc w:val="both"/>
        <w:textAlignment w:val="auto"/>
        <w:outlineLvl w:val="9"/>
        <w:rPr>
          <w:rFonts w:hint="eastAsia" w:ascii="Times New Roman" w:hAnsi="Times New Roman" w:eastAsia="方正仿宋_GBK" w:cs="Times New Roman"/>
          <w:b w:val="0"/>
          <w:bCs w:val="0"/>
          <w:color w:val="auto"/>
          <w:sz w:val="32"/>
          <w:szCs w:val="32"/>
          <w:lang w:eastAsia="zh-CN"/>
        </w:rPr>
      </w:pPr>
      <w:r>
        <w:rPr>
          <w:rFonts w:hint="default" w:ascii="Times New Roman" w:hAnsi="Times New Roman" w:eastAsia="方正仿宋_GBK" w:cs="Times New Roman"/>
          <w:b w:val="0"/>
          <w:bCs w:val="0"/>
          <w:color w:val="auto"/>
          <w:sz w:val="32"/>
          <w:szCs w:val="32"/>
        </w:rPr>
        <w:t>7.协助处置辖区内突发公共卫生事件等</w:t>
      </w:r>
      <w:r>
        <w:rPr>
          <w:rFonts w:hint="eastAsia" w:ascii="Times New Roman" w:hAnsi="Times New Roman" w:eastAsia="方正仿宋_GBK" w:cs="Times New Roman"/>
          <w:b w:val="0"/>
          <w:bCs w:val="0"/>
          <w:color w:val="auto"/>
          <w:sz w:val="32"/>
          <w:szCs w:val="32"/>
          <w:lang w:eastAsia="zh-CN"/>
        </w:rPr>
        <w:t>。</w:t>
      </w:r>
    </w:p>
    <w:p>
      <w:pPr>
        <w:pStyle w:val="9"/>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560" w:lineRule="exact"/>
        <w:ind w:left="0" w:firstLine="640" w:firstLineChars="200"/>
        <w:jc w:val="both"/>
        <w:textAlignment w:val="auto"/>
        <w:outlineLvl w:val="9"/>
        <w:rPr>
          <w:rFonts w:hint="default" w:ascii="Times New Roman" w:hAnsi="Times New Roman" w:eastAsia="方正仿宋_GBK" w:cs="Times New Roman"/>
          <w:b w:val="0"/>
          <w:bCs w:val="0"/>
          <w:color w:val="auto"/>
          <w:sz w:val="32"/>
          <w:szCs w:val="32"/>
        </w:rPr>
      </w:pPr>
      <w:r>
        <w:rPr>
          <w:rFonts w:hint="default" w:ascii="Times New Roman" w:hAnsi="Times New Roman" w:eastAsia="方正仿宋_GBK" w:cs="Times New Roman"/>
          <w:b w:val="0"/>
          <w:bCs w:val="0"/>
          <w:color w:val="auto"/>
          <w:sz w:val="32"/>
          <w:szCs w:val="32"/>
        </w:rPr>
        <w:t>8.按要求提供其他公共卫生服务。</w:t>
      </w:r>
    </w:p>
    <w:p>
      <w:pPr>
        <w:pStyle w:val="9"/>
        <w:keepNext w:val="0"/>
        <w:keepLines w:val="0"/>
        <w:pageBreakBefore w:val="0"/>
        <w:widowControl/>
        <w:shd w:val="clear" w:color="auto" w:fill="FFFFFF"/>
        <w:kinsoku/>
        <w:wordWrap/>
        <w:overflowPunct/>
        <w:topLinePunct w:val="0"/>
        <w:autoSpaceDE/>
        <w:autoSpaceDN/>
        <w:bidi w:val="0"/>
        <w:adjustRightInd w:val="0"/>
        <w:snapToGrid w:val="0"/>
        <w:spacing w:before="0" w:beforeAutospacing="0" w:after="0" w:afterAutospacing="0" w:line="560" w:lineRule="exact"/>
        <w:ind w:firstLine="640" w:firstLineChars="200"/>
        <w:jc w:val="both"/>
        <w:textAlignment w:val="auto"/>
        <w:rPr>
          <w:rStyle w:val="11"/>
          <w:rFonts w:hint="default" w:ascii="Times New Roman" w:hAnsi="Times New Roman" w:eastAsia="方正楷体_GBK" w:cs="Times New Roman"/>
          <w:b w:val="0"/>
          <w:bCs w:val="0"/>
          <w:color w:val="auto"/>
          <w:sz w:val="32"/>
          <w:szCs w:val="32"/>
          <w:shd w:val="clear" w:color="auto" w:fill="FFFFFF"/>
        </w:rPr>
      </w:pPr>
      <w:r>
        <w:rPr>
          <w:rStyle w:val="11"/>
          <w:rFonts w:hint="default" w:ascii="Times New Roman" w:hAnsi="Times New Roman" w:eastAsia="方正楷体_GBK" w:cs="Times New Roman"/>
          <w:b w:val="0"/>
          <w:bCs w:val="0"/>
          <w:color w:val="auto"/>
          <w:sz w:val="32"/>
          <w:szCs w:val="32"/>
          <w:shd w:val="clear" w:color="auto" w:fill="FFFFFF"/>
        </w:rPr>
        <w:t>（二）机构设置</w:t>
      </w:r>
    </w:p>
    <w:p>
      <w:pPr>
        <w:pStyle w:val="15"/>
        <w:keepNext w:val="0"/>
        <w:keepLines w:val="0"/>
        <w:pageBreakBefore w:val="0"/>
        <w:widowControl/>
        <w:kinsoku/>
        <w:wordWrap/>
        <w:overflowPunct/>
        <w:topLinePunct w:val="0"/>
        <w:autoSpaceDE/>
        <w:autoSpaceDN/>
        <w:bidi w:val="0"/>
        <w:adjustRightInd w:val="0"/>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val="0"/>
          <w:color w:val="auto"/>
          <w:sz w:val="32"/>
          <w:szCs w:val="32"/>
        </w:rPr>
      </w:pPr>
      <w:r>
        <w:rPr>
          <w:rFonts w:hint="default" w:ascii="Times New Roman" w:hAnsi="Times New Roman" w:eastAsia="方正仿宋_GBK" w:cs="Times New Roman"/>
          <w:b w:val="0"/>
          <w:bCs w:val="0"/>
          <w:color w:val="auto"/>
          <w:sz w:val="32"/>
          <w:szCs w:val="32"/>
        </w:rPr>
        <w:t>本单位下设办公室、财务科、医务科、全科门诊、妇科门诊、门诊部、中医科、医技科、库房、药房、收费室、综合住院部。</w:t>
      </w:r>
    </w:p>
    <w:p>
      <w:pPr>
        <w:pStyle w:val="9"/>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Style w:val="11"/>
          <w:rFonts w:hint="eastAsia" w:ascii="方正黑体_GBK" w:hAnsi="方正黑体_GBK" w:eastAsia="方正黑体_GBK" w:cs="方正黑体_GBK"/>
          <w:b w:val="0"/>
          <w:bCs/>
          <w:sz w:val="32"/>
          <w:szCs w:val="32"/>
          <w:shd w:val="clear" w:color="auto" w:fill="FFFFFF"/>
        </w:rPr>
      </w:pPr>
      <w:r>
        <w:rPr>
          <w:rStyle w:val="11"/>
          <w:rFonts w:hint="eastAsia" w:ascii="方正黑体_GBK" w:hAnsi="方正黑体_GBK" w:eastAsia="方正黑体_GBK" w:cs="方正黑体_GBK"/>
          <w:b w:val="0"/>
          <w:bCs/>
          <w:sz w:val="32"/>
          <w:szCs w:val="32"/>
          <w:shd w:val="clear" w:color="auto" w:fill="FFFFFF"/>
        </w:rPr>
        <w:t>二、</w:t>
      </w:r>
      <w:r>
        <w:rPr>
          <w:rStyle w:val="11"/>
          <w:rFonts w:hint="eastAsia" w:ascii="方正黑体_GBK" w:hAnsi="方正黑体_GBK" w:eastAsia="方正黑体_GBK" w:cs="方正黑体_GBK"/>
          <w:b w:val="0"/>
          <w:bCs/>
          <w:sz w:val="32"/>
          <w:szCs w:val="32"/>
          <w:shd w:val="clear" w:color="auto" w:fill="FFFFFF"/>
          <w:lang w:eastAsia="zh-CN"/>
        </w:rPr>
        <w:t>单位</w:t>
      </w:r>
      <w:r>
        <w:rPr>
          <w:rStyle w:val="11"/>
          <w:rFonts w:hint="eastAsia" w:ascii="方正黑体_GBK" w:hAnsi="方正黑体_GBK" w:eastAsia="方正黑体_GBK" w:cs="方正黑体_GBK"/>
          <w:b w:val="0"/>
          <w:bCs/>
          <w:sz w:val="32"/>
          <w:szCs w:val="32"/>
          <w:shd w:val="clear" w:color="auto" w:fill="FFFFFF"/>
        </w:rPr>
        <w:t>决算</w:t>
      </w:r>
      <w:r>
        <w:rPr>
          <w:rStyle w:val="11"/>
          <w:rFonts w:hint="eastAsia" w:ascii="方正黑体_GBK" w:hAnsi="方正黑体_GBK" w:eastAsia="方正黑体_GBK" w:cs="方正黑体_GBK"/>
          <w:b w:val="0"/>
          <w:bCs/>
          <w:sz w:val="32"/>
          <w:szCs w:val="32"/>
          <w:shd w:val="clear" w:color="auto" w:fill="FFFFFF"/>
          <w:lang w:eastAsia="zh-CN"/>
        </w:rPr>
        <w:t>收支</w:t>
      </w:r>
      <w:r>
        <w:rPr>
          <w:rStyle w:val="11"/>
          <w:rFonts w:hint="eastAsia" w:ascii="方正黑体_GBK" w:hAnsi="方正黑体_GBK" w:eastAsia="方正黑体_GBK" w:cs="方正黑体_GBK"/>
          <w:b w:val="0"/>
          <w:bCs/>
          <w:sz w:val="32"/>
          <w:szCs w:val="32"/>
          <w:shd w:val="clear" w:color="auto" w:fill="FFFFFF"/>
        </w:rPr>
        <w:t>情况说明</w:t>
      </w:r>
    </w:p>
    <w:p>
      <w:pPr>
        <w:pStyle w:val="9"/>
        <w:keepNext w:val="0"/>
        <w:keepLines w:val="0"/>
        <w:pageBreakBefore w:val="0"/>
        <w:widowControl/>
        <w:shd w:val="clear" w:color="auto" w:fill="FFFFFF"/>
        <w:kinsoku/>
        <w:wordWrap/>
        <w:overflowPunct/>
        <w:topLinePunct w:val="0"/>
        <w:autoSpaceDE/>
        <w:autoSpaceDN/>
        <w:bidi w:val="0"/>
        <w:adjustRightInd w:val="0"/>
        <w:snapToGrid w:val="0"/>
        <w:spacing w:before="0" w:beforeAutospacing="0" w:after="0" w:afterAutospacing="0" w:line="560" w:lineRule="exact"/>
        <w:ind w:firstLine="640" w:firstLineChars="200"/>
        <w:jc w:val="both"/>
        <w:textAlignment w:val="auto"/>
        <w:rPr>
          <w:rStyle w:val="11"/>
          <w:rFonts w:hint="default" w:ascii="Times New Roman" w:hAnsi="Times New Roman" w:eastAsia="方正楷体_GBK" w:cs="Times New Roman"/>
          <w:b w:val="0"/>
          <w:bCs w:val="0"/>
          <w:color w:val="auto"/>
          <w:sz w:val="32"/>
          <w:szCs w:val="32"/>
          <w:shd w:val="clear" w:color="auto" w:fill="FFFFFF"/>
        </w:rPr>
      </w:pPr>
      <w:r>
        <w:rPr>
          <w:rStyle w:val="11"/>
          <w:rFonts w:hint="default" w:ascii="Times New Roman" w:hAnsi="Times New Roman" w:eastAsia="方正楷体_GBK" w:cs="Times New Roman"/>
          <w:b w:val="0"/>
          <w:bCs w:val="0"/>
          <w:color w:val="auto"/>
          <w:sz w:val="32"/>
          <w:szCs w:val="32"/>
          <w:shd w:val="clear" w:color="auto" w:fill="FFFFFF"/>
        </w:rPr>
        <w:t>（一）收入支出决算总体情况说明</w:t>
      </w:r>
    </w:p>
    <w:p>
      <w:pPr>
        <w:pStyle w:val="9"/>
        <w:keepNext w:val="0"/>
        <w:keepLines w:val="0"/>
        <w:pageBreakBefore w:val="0"/>
        <w:shd w:val="clear" w:color="auto" w:fill="FFFFFF"/>
        <w:kinsoku/>
        <w:wordWrap/>
        <w:overflowPunct/>
        <w:topLinePunct w:val="0"/>
        <w:autoSpaceDN/>
        <w:bidi w:val="0"/>
        <w:adjustRightInd w:val="0"/>
        <w:snapToGrid w:val="0"/>
        <w:spacing w:before="0" w:beforeAutospacing="0" w:after="0" w:afterAutospacing="0" w:line="560" w:lineRule="exact"/>
        <w:ind w:firstLine="640" w:firstLineChars="200"/>
        <w:jc w:val="both"/>
        <w:textAlignment w:val="auto"/>
        <w:rPr>
          <w:rFonts w:hint="eastAsia" w:ascii="Times New Roman" w:hAnsi="Times New Roman" w:eastAsia="方正仿宋_GBK" w:cs="Times New Roman"/>
          <w:b w:val="0"/>
          <w:bCs w:val="0"/>
          <w:color w:val="auto"/>
          <w:sz w:val="32"/>
          <w:szCs w:val="32"/>
          <w:shd w:val="clear" w:color="auto" w:fill="FFFFFF"/>
          <w:lang w:val="en-US" w:eastAsia="zh-CN"/>
        </w:rPr>
      </w:pPr>
      <w:r>
        <w:rPr>
          <w:rFonts w:hint="default" w:ascii="Times New Roman" w:hAnsi="Times New Roman" w:eastAsia="方正仿宋_GBK" w:cs="Times New Roman"/>
          <w:b w:val="0"/>
          <w:bCs w:val="0"/>
          <w:color w:val="auto"/>
          <w:sz w:val="32"/>
          <w:szCs w:val="32"/>
          <w:shd w:val="clear" w:color="auto" w:fill="FFFFFF"/>
        </w:rPr>
        <w:t>2024年度收</w:t>
      </w:r>
      <w:r>
        <w:rPr>
          <w:rFonts w:hint="default" w:ascii="Times New Roman" w:hAnsi="Times New Roman" w:eastAsia="方正仿宋_GBK" w:cs="Times New Roman"/>
          <w:b w:val="0"/>
          <w:bCs w:val="0"/>
          <w:color w:val="auto"/>
          <w:sz w:val="32"/>
          <w:szCs w:val="32"/>
          <w:shd w:val="clear" w:color="auto" w:fill="FFFFFF"/>
          <w:lang w:eastAsia="zh-CN"/>
        </w:rPr>
        <w:t>、支</w:t>
      </w:r>
      <w:r>
        <w:rPr>
          <w:rFonts w:hint="default" w:ascii="Times New Roman" w:hAnsi="Times New Roman" w:eastAsia="方正仿宋_GBK" w:cs="Times New Roman"/>
          <w:b w:val="0"/>
          <w:bCs w:val="0"/>
          <w:color w:val="auto"/>
          <w:sz w:val="32"/>
          <w:szCs w:val="32"/>
          <w:shd w:val="clear" w:color="auto" w:fill="FFFFFF"/>
        </w:rPr>
        <w:t>总计</w:t>
      </w:r>
      <w:r>
        <w:rPr>
          <w:rFonts w:hint="default" w:ascii="Times New Roman" w:hAnsi="Times New Roman" w:eastAsia="方正仿宋_GBK" w:cs="Times New Roman"/>
          <w:b w:val="0"/>
          <w:bCs w:val="0"/>
          <w:color w:val="auto"/>
          <w:sz w:val="32"/>
          <w:szCs w:val="32"/>
          <w:shd w:val="clear" w:color="auto" w:fill="FFFFFF"/>
          <w:lang w:eastAsia="zh-CN"/>
        </w:rPr>
        <w:t>均为</w:t>
      </w:r>
      <w:r>
        <w:rPr>
          <w:rFonts w:hint="default" w:ascii="Times New Roman" w:hAnsi="Times New Roman" w:eastAsia="方正仿宋_GBK" w:cs="Times New Roman"/>
          <w:b w:val="0"/>
          <w:bCs w:val="0"/>
          <w:color w:val="auto"/>
          <w:sz w:val="32"/>
          <w:szCs w:val="32"/>
          <w:shd w:val="clear" w:color="auto" w:fill="FFFFFF"/>
        </w:rPr>
        <w:t>512.82万元。收、支与2023年度相比，减少111.33万元，下降17.8%，主要原因是</w:t>
      </w:r>
      <w:r>
        <w:rPr>
          <w:rFonts w:hint="default" w:ascii="Times New Roman" w:hAnsi="Times New Roman" w:eastAsia="方正仿宋_GBK" w:cs="Times New Roman"/>
          <w:b w:val="0"/>
          <w:bCs w:val="0"/>
          <w:color w:val="auto"/>
          <w:sz w:val="32"/>
          <w:szCs w:val="32"/>
          <w:shd w:val="clear" w:color="auto" w:fill="FFFFFF"/>
          <w:lang w:val="en-US" w:eastAsia="zh-CN"/>
        </w:rPr>
        <w:t>业务收入减少，公卫资金</w:t>
      </w:r>
      <w:r>
        <w:rPr>
          <w:rFonts w:hint="eastAsia" w:ascii="Times New Roman" w:hAnsi="Times New Roman" w:eastAsia="方正仿宋_GBK" w:cs="Times New Roman"/>
          <w:b w:val="0"/>
          <w:bCs w:val="0"/>
          <w:color w:val="auto"/>
          <w:sz w:val="32"/>
          <w:szCs w:val="32"/>
          <w:shd w:val="clear" w:color="auto" w:fill="FFFFFF"/>
          <w:lang w:val="en-US" w:eastAsia="zh-CN"/>
        </w:rPr>
        <w:t>本年度拨款下降。</w:t>
      </w:r>
    </w:p>
    <w:p>
      <w:pPr>
        <w:pStyle w:val="9"/>
        <w:keepNext w:val="0"/>
        <w:keepLines w:val="0"/>
        <w:pageBreakBefore w:val="0"/>
        <w:numPr>
          <w:numId w:val="0"/>
        </w:numPr>
        <w:shd w:val="clear" w:color="auto" w:fill="FFFFFF"/>
        <w:kinsoku/>
        <w:wordWrap/>
        <w:overflowPunct/>
        <w:topLinePunct w:val="0"/>
        <w:autoSpaceDN/>
        <w:bidi w:val="0"/>
        <w:adjustRightInd w:val="0"/>
        <w:snapToGrid w:val="0"/>
        <w:spacing w:before="0" w:beforeAutospacing="0" w:after="0" w:afterAutospacing="0" w:line="560" w:lineRule="exact"/>
        <w:ind w:firstLine="640" w:firstLineChars="200"/>
        <w:jc w:val="both"/>
        <w:textAlignment w:val="auto"/>
        <w:rPr>
          <w:rFonts w:hint="default" w:ascii="Times New Roman" w:hAnsi="Times New Roman" w:eastAsia="方正仿宋_GBK" w:cs="Times New Roman"/>
          <w:b w:val="0"/>
          <w:bCs w:val="0"/>
          <w:color w:val="auto"/>
          <w:sz w:val="32"/>
          <w:szCs w:val="32"/>
          <w:shd w:val="clear" w:color="auto" w:fill="FFFFFF"/>
        </w:rPr>
      </w:pPr>
      <w:r>
        <w:rPr>
          <w:rStyle w:val="11"/>
          <w:rFonts w:hint="eastAsia" w:ascii="Times New Roman" w:hAnsi="Times New Roman" w:eastAsia="方正仿宋_GBK" w:cs="Times New Roman"/>
          <w:b w:val="0"/>
          <w:bCs w:val="0"/>
          <w:color w:val="auto"/>
          <w:sz w:val="32"/>
          <w:szCs w:val="32"/>
          <w:shd w:val="clear" w:color="auto" w:fill="FFFFFF"/>
          <w:lang w:val="en-US" w:eastAsia="zh-CN"/>
        </w:rPr>
        <w:t>1.</w:t>
      </w:r>
      <w:r>
        <w:rPr>
          <w:rStyle w:val="11"/>
          <w:rFonts w:hint="default" w:ascii="Times New Roman" w:hAnsi="Times New Roman" w:eastAsia="方正仿宋_GBK" w:cs="Times New Roman"/>
          <w:b w:val="0"/>
          <w:bCs w:val="0"/>
          <w:color w:val="auto"/>
          <w:sz w:val="32"/>
          <w:szCs w:val="32"/>
          <w:shd w:val="clear" w:color="auto" w:fill="FFFFFF"/>
        </w:rPr>
        <w:t>收入情况。</w:t>
      </w:r>
      <w:r>
        <w:rPr>
          <w:rFonts w:hint="default" w:ascii="Times New Roman" w:hAnsi="Times New Roman" w:eastAsia="方正仿宋_GBK" w:cs="Times New Roman"/>
          <w:b w:val="0"/>
          <w:bCs w:val="0"/>
          <w:color w:val="auto"/>
          <w:sz w:val="32"/>
          <w:szCs w:val="32"/>
          <w:shd w:val="clear" w:color="auto" w:fill="FFFFFF"/>
        </w:rPr>
        <w:t>2024年度收入合计501.57万元，与2023年度相比，减少121.67万元，下降19.5%，主要原因是</w:t>
      </w:r>
      <w:r>
        <w:rPr>
          <w:rFonts w:hint="default" w:ascii="Times New Roman" w:hAnsi="Times New Roman" w:eastAsia="方正仿宋_GBK" w:cs="Times New Roman"/>
          <w:b w:val="0"/>
          <w:bCs w:val="0"/>
          <w:color w:val="auto"/>
          <w:sz w:val="32"/>
          <w:szCs w:val="32"/>
          <w:shd w:val="clear" w:color="auto" w:fill="FFFFFF"/>
          <w:lang w:val="en-US" w:eastAsia="zh-CN"/>
        </w:rPr>
        <w:t>业务收入减少，公卫资金本年度拨款</w:t>
      </w:r>
      <w:r>
        <w:rPr>
          <w:rFonts w:hint="eastAsia" w:ascii="Times New Roman" w:hAnsi="Times New Roman" w:eastAsia="方正仿宋_GBK" w:cs="Times New Roman"/>
          <w:b w:val="0"/>
          <w:bCs w:val="0"/>
          <w:color w:val="auto"/>
          <w:sz w:val="32"/>
          <w:szCs w:val="32"/>
          <w:shd w:val="clear" w:color="auto" w:fill="FFFFFF"/>
          <w:lang w:val="en-US" w:eastAsia="zh-CN"/>
        </w:rPr>
        <w:t>下降</w:t>
      </w:r>
      <w:r>
        <w:rPr>
          <w:rFonts w:hint="default" w:ascii="Times New Roman" w:hAnsi="Times New Roman" w:eastAsia="方正仿宋_GBK" w:cs="Times New Roman"/>
          <w:b w:val="0"/>
          <w:bCs w:val="0"/>
          <w:color w:val="auto"/>
          <w:sz w:val="32"/>
          <w:szCs w:val="32"/>
          <w:shd w:val="clear" w:color="auto" w:fill="FFFFFF"/>
          <w:lang w:val="en-US" w:eastAsia="zh-CN"/>
        </w:rPr>
        <w:t>。</w:t>
      </w:r>
      <w:r>
        <w:rPr>
          <w:rFonts w:hint="default" w:ascii="Times New Roman" w:hAnsi="Times New Roman" w:eastAsia="方正仿宋_GBK" w:cs="Times New Roman"/>
          <w:b w:val="0"/>
          <w:bCs w:val="0"/>
          <w:color w:val="auto"/>
          <w:sz w:val="32"/>
          <w:szCs w:val="32"/>
          <w:shd w:val="clear" w:color="auto" w:fill="FFFFFF"/>
        </w:rPr>
        <w:t>其中：财政拨款收入242.37万元，占48.3%；事业收入249.54万元，占49.8%；经营收入0.00万元，占0.0%；其他收入9.67万元，占1.9%。此外，使用非财政拨款结余（含专用结余）0.00万元，年初结转和结余11.25万元。</w:t>
      </w:r>
    </w:p>
    <w:p>
      <w:pPr>
        <w:pStyle w:val="9"/>
        <w:keepNext w:val="0"/>
        <w:keepLines w:val="0"/>
        <w:pageBreakBefore w:val="0"/>
        <w:numPr>
          <w:numId w:val="0"/>
        </w:numPr>
        <w:kinsoku/>
        <w:wordWrap/>
        <w:overflowPunct/>
        <w:topLinePunct w:val="0"/>
        <w:autoSpaceDN/>
        <w:bidi w:val="0"/>
        <w:adjustRightInd w:val="0"/>
        <w:snapToGrid w:val="0"/>
        <w:spacing w:before="0" w:beforeAutospacing="0" w:after="0" w:afterAutospacing="0" w:line="560" w:lineRule="exact"/>
        <w:ind w:firstLine="640" w:firstLineChars="200"/>
        <w:jc w:val="both"/>
        <w:textAlignment w:val="auto"/>
        <w:rPr>
          <w:rFonts w:hint="default" w:ascii="Times New Roman" w:hAnsi="Times New Roman" w:eastAsia="方正仿宋_GBK" w:cs="Times New Roman"/>
          <w:b w:val="0"/>
          <w:bCs w:val="0"/>
          <w:color w:val="auto"/>
          <w:sz w:val="32"/>
          <w:szCs w:val="32"/>
          <w:shd w:val="clear" w:color="auto" w:fill="FFFFFF"/>
        </w:rPr>
      </w:pPr>
      <w:r>
        <w:rPr>
          <w:rStyle w:val="11"/>
          <w:rFonts w:hint="eastAsia" w:ascii="Times New Roman" w:hAnsi="Times New Roman" w:eastAsia="方正仿宋_GBK" w:cs="Times New Roman"/>
          <w:b w:val="0"/>
          <w:bCs w:val="0"/>
          <w:color w:val="auto"/>
          <w:sz w:val="32"/>
          <w:szCs w:val="32"/>
          <w:shd w:val="clear" w:color="auto" w:fill="FFFFFF"/>
          <w:lang w:val="en-US" w:eastAsia="zh-CN"/>
        </w:rPr>
        <w:t>2.</w:t>
      </w:r>
      <w:r>
        <w:rPr>
          <w:rStyle w:val="11"/>
          <w:rFonts w:hint="default" w:ascii="Times New Roman" w:hAnsi="Times New Roman" w:eastAsia="方正仿宋_GBK" w:cs="Times New Roman"/>
          <w:b w:val="0"/>
          <w:bCs w:val="0"/>
          <w:color w:val="auto"/>
          <w:sz w:val="32"/>
          <w:szCs w:val="32"/>
          <w:shd w:val="clear" w:color="auto" w:fill="FFFFFF"/>
        </w:rPr>
        <w:t>支出情况。</w:t>
      </w:r>
      <w:r>
        <w:rPr>
          <w:rFonts w:hint="default" w:ascii="Times New Roman" w:hAnsi="Times New Roman" w:eastAsia="方正仿宋_GBK" w:cs="Times New Roman"/>
          <w:b w:val="0"/>
          <w:bCs w:val="0"/>
          <w:color w:val="auto"/>
          <w:sz w:val="32"/>
          <w:szCs w:val="32"/>
          <w:shd w:val="clear" w:color="auto" w:fill="FFFFFF"/>
        </w:rPr>
        <w:t>2024年度支出合计512.82万元，与2023年度相比，减少100.08万元，下降16.3%，主要原因是</w:t>
      </w:r>
      <w:r>
        <w:rPr>
          <w:rFonts w:hint="default" w:ascii="Times New Roman" w:hAnsi="Times New Roman" w:eastAsia="方正仿宋_GBK" w:cs="Times New Roman"/>
          <w:b w:val="0"/>
          <w:bCs w:val="0"/>
          <w:color w:val="auto"/>
          <w:sz w:val="32"/>
          <w:szCs w:val="32"/>
          <w:shd w:val="clear" w:color="auto" w:fill="FFFFFF"/>
          <w:lang w:val="en-US" w:eastAsia="zh-CN"/>
        </w:rPr>
        <w:t>业务收入减少，公卫资金</w:t>
      </w:r>
      <w:r>
        <w:rPr>
          <w:rFonts w:hint="eastAsia" w:ascii="Times New Roman" w:hAnsi="Times New Roman" w:eastAsia="方正仿宋_GBK" w:cs="Times New Roman"/>
          <w:b w:val="0"/>
          <w:bCs w:val="0"/>
          <w:color w:val="auto"/>
          <w:sz w:val="32"/>
          <w:szCs w:val="32"/>
          <w:shd w:val="clear" w:color="auto" w:fill="FFFFFF"/>
          <w:lang w:val="en-US" w:eastAsia="zh-CN"/>
        </w:rPr>
        <w:t>本年度拨款下降</w:t>
      </w:r>
      <w:r>
        <w:rPr>
          <w:rFonts w:hint="default" w:ascii="Times New Roman" w:hAnsi="Times New Roman" w:eastAsia="方正仿宋_GBK" w:cs="Times New Roman"/>
          <w:b w:val="0"/>
          <w:bCs w:val="0"/>
          <w:color w:val="auto"/>
          <w:sz w:val="32"/>
          <w:szCs w:val="32"/>
          <w:shd w:val="clear" w:color="auto" w:fill="FFFFFF"/>
          <w:lang w:val="en-US" w:eastAsia="zh-CN"/>
        </w:rPr>
        <w:t>。</w:t>
      </w:r>
      <w:r>
        <w:rPr>
          <w:rFonts w:hint="default" w:ascii="Times New Roman" w:hAnsi="Times New Roman" w:eastAsia="方正仿宋_GBK" w:cs="Times New Roman"/>
          <w:b w:val="0"/>
          <w:bCs w:val="0"/>
          <w:color w:val="auto"/>
          <w:sz w:val="32"/>
          <w:szCs w:val="32"/>
          <w:shd w:val="clear" w:color="auto" w:fill="FFFFFF"/>
        </w:rPr>
        <w:t>其中：基本支出503.68万元，占98.2%；项目支出9.14万元，占1.8%；经营支出</w:t>
      </w:r>
      <w:r>
        <w:rPr>
          <w:rFonts w:hint="default" w:ascii="Times New Roman" w:hAnsi="Times New Roman" w:eastAsia="方正仿宋_GBK" w:cs="Times New Roman"/>
          <w:b w:val="0"/>
          <w:bCs w:val="0"/>
          <w:color w:val="auto"/>
          <w:sz w:val="32"/>
          <w:szCs w:val="32"/>
        </w:rPr>
        <w:t>0.00</w:t>
      </w:r>
      <w:r>
        <w:rPr>
          <w:rFonts w:hint="default" w:ascii="Times New Roman" w:hAnsi="Times New Roman" w:eastAsia="方正仿宋_GBK" w:cs="Times New Roman"/>
          <w:b w:val="0"/>
          <w:bCs w:val="0"/>
          <w:color w:val="auto"/>
          <w:sz w:val="32"/>
          <w:szCs w:val="32"/>
          <w:shd w:val="clear" w:color="auto" w:fill="FFFFFF"/>
        </w:rPr>
        <w:t>万元，占0.0%。此外，结余分配0.00万元。</w:t>
      </w:r>
    </w:p>
    <w:p>
      <w:pPr>
        <w:pStyle w:val="9"/>
        <w:keepNext w:val="0"/>
        <w:keepLines w:val="0"/>
        <w:pageBreakBefore w:val="0"/>
        <w:kinsoku/>
        <w:wordWrap/>
        <w:overflowPunct/>
        <w:topLinePunct w:val="0"/>
        <w:autoSpaceDN/>
        <w:bidi w:val="0"/>
        <w:adjustRightInd w:val="0"/>
        <w:snapToGrid w:val="0"/>
        <w:spacing w:before="0" w:beforeAutospacing="0" w:after="0" w:afterAutospacing="0" w:line="560" w:lineRule="exact"/>
        <w:ind w:firstLine="640" w:firstLineChars="200"/>
        <w:jc w:val="both"/>
        <w:textAlignment w:val="auto"/>
        <w:rPr>
          <w:rFonts w:hint="default" w:ascii="Times New Roman" w:hAnsi="Times New Roman" w:eastAsia="方正仿宋_GBK" w:cs="Times New Roman"/>
          <w:b w:val="0"/>
          <w:bCs w:val="0"/>
          <w:color w:val="auto"/>
          <w:sz w:val="32"/>
          <w:szCs w:val="32"/>
          <w:lang w:val="en-US"/>
        </w:rPr>
      </w:pPr>
      <w:r>
        <w:rPr>
          <w:rStyle w:val="11"/>
          <w:rFonts w:hint="default" w:ascii="Times New Roman" w:hAnsi="Times New Roman" w:eastAsia="方正仿宋_GBK" w:cs="Times New Roman"/>
          <w:b w:val="0"/>
          <w:bCs w:val="0"/>
          <w:color w:val="auto"/>
          <w:sz w:val="32"/>
          <w:szCs w:val="32"/>
          <w:shd w:val="clear" w:color="auto" w:fill="FFFFFF"/>
          <w:lang w:val="en-US" w:eastAsia="zh-CN"/>
        </w:rPr>
        <w:t>3</w:t>
      </w:r>
      <w:r>
        <w:rPr>
          <w:rStyle w:val="11"/>
          <w:rFonts w:hint="default" w:ascii="Times New Roman" w:hAnsi="Times New Roman" w:eastAsia="方正仿宋_GBK" w:cs="Times New Roman"/>
          <w:b w:val="0"/>
          <w:bCs w:val="0"/>
          <w:color w:val="auto"/>
          <w:sz w:val="32"/>
          <w:szCs w:val="32"/>
          <w:shd w:val="clear" w:color="auto" w:fill="FFFFFF"/>
        </w:rPr>
        <w:t>.结转结余情况。</w:t>
      </w:r>
      <w:r>
        <w:rPr>
          <w:rFonts w:hint="default" w:ascii="Times New Roman" w:hAnsi="Times New Roman" w:eastAsia="方正仿宋_GBK" w:cs="Times New Roman"/>
          <w:b w:val="0"/>
          <w:bCs w:val="0"/>
          <w:color w:val="auto"/>
          <w:sz w:val="32"/>
          <w:szCs w:val="32"/>
          <w:shd w:val="clear" w:color="auto" w:fill="FFFFFF"/>
        </w:rPr>
        <w:t>2024年度年末结转和结余0.00万元，与2023年度相比，减少11.25万元，下降100.0%，主要原因是</w:t>
      </w:r>
      <w:r>
        <w:rPr>
          <w:rFonts w:hint="eastAsia" w:ascii="Times New Roman" w:hAnsi="Times New Roman" w:eastAsia="方正仿宋_GBK" w:cs="Times New Roman"/>
          <w:b w:val="0"/>
          <w:bCs w:val="0"/>
          <w:color w:val="auto"/>
          <w:sz w:val="32"/>
          <w:szCs w:val="32"/>
          <w:shd w:val="clear" w:color="auto" w:fill="FFFFFF"/>
          <w:lang w:val="en-US" w:eastAsia="zh-CN"/>
        </w:rPr>
        <w:t>2022年度超额绩效清算未支付结转到2023年度，本年度无此情况。</w:t>
      </w:r>
    </w:p>
    <w:p>
      <w:pPr>
        <w:pStyle w:val="9"/>
        <w:keepNext w:val="0"/>
        <w:keepLines w:val="0"/>
        <w:pageBreakBefore w:val="0"/>
        <w:widowControl/>
        <w:shd w:val="clear" w:color="auto" w:fill="FFFFFF"/>
        <w:kinsoku/>
        <w:wordWrap/>
        <w:overflowPunct/>
        <w:topLinePunct w:val="0"/>
        <w:autoSpaceDE/>
        <w:autoSpaceDN/>
        <w:bidi w:val="0"/>
        <w:adjustRightInd w:val="0"/>
        <w:snapToGrid w:val="0"/>
        <w:spacing w:before="0" w:beforeAutospacing="0" w:after="0" w:afterAutospacing="0" w:line="560" w:lineRule="exact"/>
        <w:ind w:firstLine="640" w:firstLineChars="200"/>
        <w:jc w:val="both"/>
        <w:textAlignment w:val="auto"/>
        <w:rPr>
          <w:rStyle w:val="11"/>
          <w:rFonts w:hint="default" w:ascii="Times New Roman" w:hAnsi="Times New Roman" w:eastAsia="方正楷体_GBK" w:cs="Times New Roman"/>
          <w:b w:val="0"/>
          <w:bCs w:val="0"/>
          <w:color w:val="auto"/>
          <w:sz w:val="32"/>
          <w:szCs w:val="32"/>
          <w:shd w:val="clear" w:color="auto" w:fill="FFFFFF"/>
        </w:rPr>
      </w:pPr>
      <w:r>
        <w:rPr>
          <w:rStyle w:val="11"/>
          <w:rFonts w:hint="default" w:ascii="Times New Roman" w:hAnsi="Times New Roman" w:eastAsia="方正楷体_GBK" w:cs="Times New Roman"/>
          <w:b w:val="0"/>
          <w:bCs w:val="0"/>
          <w:color w:val="auto"/>
          <w:sz w:val="32"/>
          <w:szCs w:val="32"/>
          <w:shd w:val="clear" w:color="auto" w:fill="FFFFFF"/>
        </w:rPr>
        <w:t>（二）财政拨款收入支出决算总体情况说明</w:t>
      </w:r>
    </w:p>
    <w:p>
      <w:pPr>
        <w:pStyle w:val="9"/>
        <w:keepNext w:val="0"/>
        <w:keepLines w:val="0"/>
        <w:pageBreakBefore w:val="0"/>
        <w:kinsoku/>
        <w:wordWrap/>
        <w:overflowPunct/>
        <w:topLinePunct w:val="0"/>
        <w:autoSpaceDN/>
        <w:bidi w:val="0"/>
        <w:adjustRightInd w:val="0"/>
        <w:snapToGrid w:val="0"/>
        <w:spacing w:before="0" w:beforeAutospacing="0" w:after="0" w:afterAutospacing="0" w:line="560" w:lineRule="exact"/>
        <w:ind w:firstLine="640" w:firstLineChars="200"/>
        <w:jc w:val="both"/>
        <w:textAlignment w:val="auto"/>
        <w:rPr>
          <w:rFonts w:hint="default" w:ascii="Times New Roman" w:hAnsi="Times New Roman" w:eastAsia="方正仿宋_GBK" w:cs="Times New Roman"/>
          <w:b w:val="0"/>
          <w:bCs w:val="0"/>
          <w:color w:val="auto"/>
          <w:sz w:val="32"/>
          <w:szCs w:val="32"/>
          <w:lang w:val="en-US" w:eastAsia="zh-CN"/>
        </w:rPr>
      </w:pPr>
      <w:r>
        <w:rPr>
          <w:rFonts w:hint="default" w:ascii="Times New Roman" w:hAnsi="Times New Roman" w:eastAsia="方正仿宋_GBK" w:cs="Times New Roman"/>
          <w:b w:val="0"/>
          <w:bCs w:val="0"/>
          <w:color w:val="auto"/>
          <w:sz w:val="32"/>
          <w:szCs w:val="32"/>
          <w:shd w:val="clear" w:color="auto" w:fill="FFFFFF"/>
        </w:rPr>
        <w:t>2024年度财政拨款收、支总计均为250.13万元。与2023年</w:t>
      </w:r>
      <w:r>
        <w:rPr>
          <w:rFonts w:hint="default" w:ascii="Times New Roman" w:hAnsi="Times New Roman" w:eastAsia="方正仿宋_GBK" w:cs="Times New Roman"/>
          <w:b w:val="0"/>
          <w:bCs w:val="0"/>
          <w:color w:val="auto"/>
          <w:sz w:val="32"/>
          <w:szCs w:val="32"/>
          <w:shd w:val="clear" w:color="auto" w:fill="FFFFFF"/>
          <w:lang w:eastAsia="zh-CN"/>
        </w:rPr>
        <w:t>度</w:t>
      </w:r>
      <w:r>
        <w:rPr>
          <w:rFonts w:hint="default" w:ascii="Times New Roman" w:hAnsi="Times New Roman" w:eastAsia="方正仿宋_GBK" w:cs="Times New Roman"/>
          <w:b w:val="0"/>
          <w:bCs w:val="0"/>
          <w:color w:val="auto"/>
          <w:sz w:val="32"/>
          <w:szCs w:val="32"/>
          <w:shd w:val="clear" w:color="auto" w:fill="FFFFFF"/>
        </w:rPr>
        <w:t>相比，财政拨款收、支总计各减少82.27万元，下降24.8%。主要原因是</w:t>
      </w:r>
      <w:r>
        <w:rPr>
          <w:rFonts w:hint="default" w:ascii="Times New Roman" w:hAnsi="Times New Roman" w:eastAsia="方正仿宋_GBK" w:cs="Times New Roman"/>
          <w:b w:val="0"/>
          <w:bCs w:val="0"/>
          <w:color w:val="auto"/>
          <w:sz w:val="32"/>
          <w:szCs w:val="32"/>
          <w:shd w:val="clear" w:color="auto" w:fill="FFFFFF"/>
          <w:lang w:val="en-US" w:eastAsia="zh-CN"/>
        </w:rPr>
        <w:t>公卫资金本年度拨款</w:t>
      </w:r>
      <w:r>
        <w:rPr>
          <w:rFonts w:hint="eastAsia" w:ascii="Times New Roman" w:hAnsi="Times New Roman" w:eastAsia="方正仿宋_GBK" w:cs="Times New Roman"/>
          <w:b w:val="0"/>
          <w:bCs w:val="0"/>
          <w:color w:val="auto"/>
          <w:sz w:val="32"/>
          <w:szCs w:val="32"/>
          <w:shd w:val="clear" w:color="auto" w:fill="FFFFFF"/>
          <w:lang w:val="en-US" w:eastAsia="zh-CN"/>
        </w:rPr>
        <w:t>下降</w:t>
      </w:r>
      <w:r>
        <w:rPr>
          <w:rFonts w:hint="default" w:ascii="Times New Roman" w:hAnsi="Times New Roman" w:eastAsia="方正仿宋_GBK" w:cs="Times New Roman"/>
          <w:b w:val="0"/>
          <w:bCs w:val="0"/>
          <w:color w:val="auto"/>
          <w:sz w:val="32"/>
          <w:szCs w:val="32"/>
          <w:shd w:val="clear" w:color="auto" w:fill="FFFFFF"/>
          <w:lang w:val="en-US" w:eastAsia="zh-CN"/>
        </w:rPr>
        <w:t>。</w:t>
      </w:r>
    </w:p>
    <w:p>
      <w:pPr>
        <w:pStyle w:val="9"/>
        <w:keepNext w:val="0"/>
        <w:keepLines w:val="0"/>
        <w:pageBreakBefore w:val="0"/>
        <w:widowControl/>
        <w:shd w:val="clear" w:color="auto" w:fill="FFFFFF"/>
        <w:kinsoku/>
        <w:wordWrap/>
        <w:overflowPunct/>
        <w:topLinePunct w:val="0"/>
        <w:autoSpaceDE/>
        <w:autoSpaceDN/>
        <w:bidi w:val="0"/>
        <w:adjustRightInd w:val="0"/>
        <w:snapToGrid w:val="0"/>
        <w:spacing w:before="0" w:beforeAutospacing="0" w:after="0" w:afterAutospacing="0" w:line="560" w:lineRule="exact"/>
        <w:ind w:firstLine="640" w:firstLineChars="200"/>
        <w:jc w:val="both"/>
        <w:textAlignment w:val="auto"/>
        <w:rPr>
          <w:rStyle w:val="11"/>
          <w:rFonts w:hint="default" w:ascii="Times New Roman" w:hAnsi="Times New Roman" w:eastAsia="方正楷体_GBK" w:cs="Times New Roman"/>
          <w:b w:val="0"/>
          <w:bCs w:val="0"/>
          <w:color w:val="auto"/>
          <w:sz w:val="32"/>
          <w:szCs w:val="32"/>
          <w:shd w:val="clear" w:color="auto" w:fill="FFFFFF"/>
        </w:rPr>
      </w:pPr>
      <w:r>
        <w:rPr>
          <w:rStyle w:val="11"/>
          <w:rFonts w:hint="default" w:ascii="Times New Roman" w:hAnsi="Times New Roman" w:eastAsia="方正楷体_GBK" w:cs="Times New Roman"/>
          <w:b w:val="0"/>
          <w:bCs w:val="0"/>
          <w:color w:val="auto"/>
          <w:sz w:val="32"/>
          <w:szCs w:val="32"/>
          <w:shd w:val="clear" w:color="auto" w:fill="FFFFFF"/>
        </w:rPr>
        <w:t>（三）一般公共预算财政拨款收入支出决算情况说明</w:t>
      </w:r>
    </w:p>
    <w:p>
      <w:pPr>
        <w:pStyle w:val="9"/>
        <w:keepNext w:val="0"/>
        <w:keepLines w:val="0"/>
        <w:pageBreakBefore w:val="0"/>
        <w:kinsoku/>
        <w:wordWrap/>
        <w:overflowPunct/>
        <w:topLinePunct w:val="0"/>
        <w:autoSpaceDN/>
        <w:bidi w:val="0"/>
        <w:adjustRightInd w:val="0"/>
        <w:snapToGrid w:val="0"/>
        <w:spacing w:before="0" w:beforeAutospacing="0" w:after="0" w:afterAutospacing="0" w:line="560" w:lineRule="exact"/>
        <w:ind w:firstLine="640" w:firstLineChars="200"/>
        <w:jc w:val="both"/>
        <w:textAlignment w:val="auto"/>
        <w:rPr>
          <w:rFonts w:hint="default" w:ascii="Times New Roman" w:hAnsi="Times New Roman" w:eastAsia="方正仿宋_GBK" w:cs="Times New Roman"/>
          <w:b w:val="0"/>
          <w:bCs w:val="0"/>
          <w:color w:val="auto"/>
          <w:sz w:val="32"/>
          <w:szCs w:val="32"/>
        </w:rPr>
      </w:pPr>
      <w:r>
        <w:rPr>
          <w:rStyle w:val="11"/>
          <w:rFonts w:hint="default" w:ascii="Times New Roman" w:hAnsi="Times New Roman" w:eastAsia="方正仿宋_GBK" w:cs="Times New Roman"/>
          <w:b w:val="0"/>
          <w:bCs w:val="0"/>
          <w:color w:val="auto"/>
          <w:sz w:val="32"/>
          <w:szCs w:val="32"/>
          <w:shd w:val="clear" w:color="auto" w:fill="FFFFFF"/>
        </w:rPr>
        <w:t>1.收入情况。</w:t>
      </w:r>
      <w:r>
        <w:rPr>
          <w:rFonts w:hint="default" w:ascii="Times New Roman" w:hAnsi="Times New Roman" w:eastAsia="方正仿宋_GBK" w:cs="Times New Roman"/>
          <w:b w:val="0"/>
          <w:bCs w:val="0"/>
          <w:color w:val="auto"/>
          <w:sz w:val="32"/>
          <w:szCs w:val="32"/>
          <w:shd w:val="clear" w:color="auto" w:fill="FFFFFF"/>
        </w:rPr>
        <w:t>2024年度一般公共预算财政拨款收入242.37万元，与2023年度相比，减少90.03万元，下降27.1%。主要原因是</w:t>
      </w:r>
      <w:r>
        <w:rPr>
          <w:rFonts w:hint="default" w:ascii="Times New Roman" w:hAnsi="Times New Roman" w:eastAsia="方正仿宋_GBK" w:cs="Times New Roman"/>
          <w:b w:val="0"/>
          <w:bCs w:val="0"/>
          <w:color w:val="auto"/>
          <w:sz w:val="32"/>
          <w:szCs w:val="32"/>
          <w:shd w:val="clear" w:color="auto" w:fill="FFFFFF"/>
          <w:lang w:val="en-US" w:eastAsia="zh-CN"/>
        </w:rPr>
        <w:t>公卫资</w:t>
      </w:r>
      <w:r>
        <w:rPr>
          <w:rFonts w:hint="eastAsia" w:ascii="Times New Roman" w:hAnsi="Times New Roman" w:eastAsia="方正仿宋_GBK" w:cs="Times New Roman"/>
          <w:b w:val="0"/>
          <w:bCs w:val="0"/>
          <w:color w:val="auto"/>
          <w:sz w:val="32"/>
          <w:szCs w:val="32"/>
          <w:shd w:val="clear" w:color="auto" w:fill="FFFFFF"/>
          <w:lang w:val="en-US" w:eastAsia="zh-CN"/>
        </w:rPr>
        <w:t>金</w:t>
      </w:r>
      <w:r>
        <w:rPr>
          <w:rFonts w:hint="default" w:ascii="Times New Roman" w:hAnsi="Times New Roman" w:eastAsia="方正仿宋_GBK" w:cs="Times New Roman"/>
          <w:b w:val="0"/>
          <w:bCs w:val="0"/>
          <w:color w:val="auto"/>
          <w:sz w:val="32"/>
          <w:szCs w:val="32"/>
          <w:shd w:val="clear" w:color="auto" w:fill="FFFFFF"/>
          <w:lang w:val="en-US" w:eastAsia="zh-CN"/>
        </w:rPr>
        <w:t>本年度拨款</w:t>
      </w:r>
      <w:r>
        <w:rPr>
          <w:rFonts w:hint="eastAsia" w:ascii="Times New Roman" w:hAnsi="Times New Roman" w:eastAsia="方正仿宋_GBK" w:cs="Times New Roman"/>
          <w:b w:val="0"/>
          <w:bCs w:val="0"/>
          <w:color w:val="auto"/>
          <w:sz w:val="32"/>
          <w:szCs w:val="32"/>
          <w:shd w:val="clear" w:color="auto" w:fill="FFFFFF"/>
          <w:lang w:val="en-US" w:eastAsia="zh-CN"/>
        </w:rPr>
        <w:t>下降</w:t>
      </w:r>
      <w:r>
        <w:rPr>
          <w:rFonts w:hint="default" w:ascii="Times New Roman" w:hAnsi="Times New Roman" w:eastAsia="方正仿宋_GBK" w:cs="Times New Roman"/>
          <w:b w:val="0"/>
          <w:bCs w:val="0"/>
          <w:color w:val="auto"/>
          <w:sz w:val="32"/>
          <w:szCs w:val="32"/>
          <w:shd w:val="clear" w:color="auto" w:fill="FFFFFF"/>
          <w:lang w:val="en-US" w:eastAsia="zh-CN"/>
        </w:rPr>
        <w:t>。</w:t>
      </w:r>
      <w:r>
        <w:rPr>
          <w:rFonts w:hint="default" w:ascii="Times New Roman" w:hAnsi="Times New Roman" w:eastAsia="方正仿宋_GBK" w:cs="Times New Roman"/>
          <w:b w:val="0"/>
          <w:bCs w:val="0"/>
          <w:color w:val="auto"/>
          <w:sz w:val="32"/>
          <w:szCs w:val="32"/>
          <w:shd w:val="clear" w:color="auto" w:fill="FFFFFF"/>
        </w:rPr>
        <w:t>较年初预算数增加33.18万元，增长15.9%。</w:t>
      </w:r>
      <w:r>
        <w:rPr>
          <w:rFonts w:hint="default" w:ascii="Times New Roman" w:hAnsi="Times New Roman" w:eastAsia="方正仿宋_GBK" w:cs="Times New Roman"/>
          <w:b w:val="0"/>
          <w:bCs w:val="0"/>
          <w:color w:val="auto"/>
          <w:sz w:val="32"/>
          <w:szCs w:val="32"/>
          <w:shd w:val="clear" w:color="auto" w:fill="FFFFFF"/>
          <w:lang w:val="en-US" w:eastAsia="zh-CN"/>
        </w:rPr>
        <w:t>主要原因是补缴202</w:t>
      </w:r>
      <w:r>
        <w:rPr>
          <w:rFonts w:hint="eastAsia" w:ascii="Times New Roman" w:hAnsi="Times New Roman" w:eastAsia="方正仿宋_GBK" w:cs="Times New Roman"/>
          <w:b w:val="0"/>
          <w:bCs w:val="0"/>
          <w:color w:val="auto"/>
          <w:sz w:val="32"/>
          <w:szCs w:val="32"/>
          <w:shd w:val="clear" w:color="auto" w:fill="FFFFFF"/>
          <w:lang w:val="en-US" w:eastAsia="zh-CN"/>
        </w:rPr>
        <w:t>4</w:t>
      </w:r>
      <w:r>
        <w:rPr>
          <w:rFonts w:hint="default" w:ascii="Times New Roman" w:hAnsi="Times New Roman" w:eastAsia="方正仿宋_GBK" w:cs="Times New Roman"/>
          <w:b w:val="0"/>
          <w:bCs w:val="0"/>
          <w:color w:val="auto"/>
          <w:sz w:val="32"/>
          <w:szCs w:val="32"/>
          <w:shd w:val="clear" w:color="auto" w:fill="FFFFFF"/>
          <w:lang w:val="en-US" w:eastAsia="zh-CN"/>
        </w:rPr>
        <w:t>年度在编人员养老保险基数及职业年金。</w:t>
      </w:r>
      <w:r>
        <w:rPr>
          <w:rFonts w:hint="default" w:ascii="Times New Roman" w:hAnsi="Times New Roman" w:eastAsia="方正仿宋_GBK" w:cs="Times New Roman"/>
          <w:b w:val="0"/>
          <w:bCs w:val="0"/>
          <w:color w:val="auto"/>
          <w:sz w:val="32"/>
          <w:szCs w:val="32"/>
          <w:shd w:val="clear" w:color="auto" w:fill="FFFFFF"/>
        </w:rPr>
        <w:t>此外，年初财政拨款结转和结余7.76万元。</w:t>
      </w:r>
    </w:p>
    <w:p>
      <w:pPr>
        <w:pStyle w:val="9"/>
        <w:keepNext w:val="0"/>
        <w:keepLines w:val="0"/>
        <w:pageBreakBefore w:val="0"/>
        <w:kinsoku/>
        <w:wordWrap/>
        <w:overflowPunct/>
        <w:topLinePunct w:val="0"/>
        <w:autoSpaceDN/>
        <w:bidi w:val="0"/>
        <w:adjustRightInd w:val="0"/>
        <w:snapToGrid w:val="0"/>
        <w:spacing w:before="0" w:beforeAutospacing="0" w:after="0" w:afterAutospacing="0" w:line="560" w:lineRule="exact"/>
        <w:ind w:firstLine="640" w:firstLineChars="200"/>
        <w:jc w:val="both"/>
        <w:textAlignment w:val="auto"/>
        <w:rPr>
          <w:rFonts w:hint="default" w:ascii="Times New Roman" w:hAnsi="Times New Roman" w:eastAsia="方正仿宋_GBK" w:cs="Times New Roman"/>
          <w:b w:val="0"/>
          <w:bCs w:val="0"/>
          <w:color w:val="auto"/>
          <w:sz w:val="32"/>
          <w:szCs w:val="32"/>
          <w:shd w:val="clear" w:color="auto" w:fill="FFFFFF"/>
        </w:rPr>
      </w:pPr>
      <w:r>
        <w:rPr>
          <w:rStyle w:val="11"/>
          <w:rFonts w:hint="default" w:ascii="Times New Roman" w:hAnsi="Times New Roman" w:eastAsia="方正仿宋_GBK" w:cs="Times New Roman"/>
          <w:b w:val="0"/>
          <w:bCs w:val="0"/>
          <w:color w:val="auto"/>
          <w:sz w:val="32"/>
          <w:szCs w:val="32"/>
          <w:shd w:val="clear" w:color="auto" w:fill="FFFFFF"/>
        </w:rPr>
        <w:t>2.支出情况。</w:t>
      </w:r>
      <w:r>
        <w:rPr>
          <w:rFonts w:hint="default" w:ascii="Times New Roman" w:hAnsi="Times New Roman" w:eastAsia="方正仿宋_GBK" w:cs="Times New Roman"/>
          <w:b w:val="0"/>
          <w:bCs w:val="0"/>
          <w:color w:val="auto"/>
          <w:sz w:val="32"/>
          <w:szCs w:val="32"/>
          <w:shd w:val="clear" w:color="auto" w:fill="FFFFFF"/>
        </w:rPr>
        <w:t>2024年度一般公共预算财政拨款支出250.13万元，与2023年度相比，减少74.51万元，下降23.0%。主要原因是</w:t>
      </w:r>
      <w:r>
        <w:rPr>
          <w:rFonts w:hint="default" w:ascii="Times New Roman" w:hAnsi="Times New Roman" w:eastAsia="方正仿宋_GBK" w:cs="Times New Roman"/>
          <w:b w:val="0"/>
          <w:bCs w:val="0"/>
          <w:color w:val="auto"/>
          <w:sz w:val="32"/>
          <w:szCs w:val="32"/>
          <w:shd w:val="clear" w:color="auto" w:fill="FFFFFF"/>
          <w:lang w:val="en-US" w:eastAsia="zh-CN"/>
        </w:rPr>
        <w:t>公卫资金本年度拨款</w:t>
      </w:r>
      <w:r>
        <w:rPr>
          <w:rFonts w:hint="eastAsia" w:ascii="Times New Roman" w:hAnsi="Times New Roman" w:eastAsia="方正仿宋_GBK" w:cs="Times New Roman"/>
          <w:b w:val="0"/>
          <w:bCs w:val="0"/>
          <w:color w:val="auto"/>
          <w:sz w:val="32"/>
          <w:szCs w:val="32"/>
          <w:shd w:val="clear" w:color="auto" w:fill="FFFFFF"/>
          <w:lang w:val="en-US" w:eastAsia="zh-CN"/>
        </w:rPr>
        <w:t>下降</w:t>
      </w:r>
      <w:r>
        <w:rPr>
          <w:rFonts w:hint="default" w:ascii="Times New Roman" w:hAnsi="Times New Roman" w:eastAsia="方正仿宋_GBK" w:cs="Times New Roman"/>
          <w:b w:val="0"/>
          <w:bCs w:val="0"/>
          <w:color w:val="auto"/>
          <w:sz w:val="32"/>
          <w:szCs w:val="32"/>
          <w:shd w:val="clear" w:color="auto" w:fill="FFFFFF"/>
          <w:lang w:val="en-US" w:eastAsia="zh-CN"/>
        </w:rPr>
        <w:t>。</w:t>
      </w:r>
      <w:r>
        <w:rPr>
          <w:rFonts w:hint="default" w:ascii="Times New Roman" w:hAnsi="Times New Roman" w:eastAsia="方正仿宋_GBK" w:cs="Times New Roman"/>
          <w:b w:val="0"/>
          <w:bCs w:val="0"/>
          <w:color w:val="auto"/>
          <w:sz w:val="32"/>
          <w:szCs w:val="32"/>
          <w:shd w:val="clear" w:color="auto" w:fill="FFFFFF"/>
        </w:rPr>
        <w:t>较年初预算数增加40.94万元，增长19.6%。</w:t>
      </w:r>
      <w:r>
        <w:rPr>
          <w:rFonts w:hint="default" w:ascii="Times New Roman" w:hAnsi="Times New Roman" w:eastAsia="方正仿宋_GBK" w:cs="Times New Roman"/>
          <w:b w:val="0"/>
          <w:bCs w:val="0"/>
          <w:color w:val="auto"/>
          <w:sz w:val="32"/>
          <w:szCs w:val="32"/>
          <w:shd w:val="clear" w:color="auto" w:fill="FFFFFF"/>
          <w:lang w:val="en-US" w:eastAsia="zh-CN"/>
        </w:rPr>
        <w:t>主要原因是补缴202</w:t>
      </w:r>
      <w:r>
        <w:rPr>
          <w:rFonts w:hint="eastAsia" w:ascii="Times New Roman" w:hAnsi="Times New Roman" w:eastAsia="方正仿宋_GBK" w:cs="Times New Roman"/>
          <w:b w:val="0"/>
          <w:bCs w:val="0"/>
          <w:color w:val="auto"/>
          <w:sz w:val="32"/>
          <w:szCs w:val="32"/>
          <w:shd w:val="clear" w:color="auto" w:fill="FFFFFF"/>
          <w:lang w:val="en-US" w:eastAsia="zh-CN"/>
        </w:rPr>
        <w:t>4</w:t>
      </w:r>
      <w:r>
        <w:rPr>
          <w:rFonts w:hint="default" w:ascii="Times New Roman" w:hAnsi="Times New Roman" w:eastAsia="方正仿宋_GBK" w:cs="Times New Roman"/>
          <w:b w:val="0"/>
          <w:bCs w:val="0"/>
          <w:color w:val="auto"/>
          <w:sz w:val="32"/>
          <w:szCs w:val="32"/>
          <w:shd w:val="clear" w:color="auto" w:fill="FFFFFF"/>
          <w:lang w:val="en-US" w:eastAsia="zh-CN"/>
        </w:rPr>
        <w:t>年度在编人员养老保险基数及职业年金。</w:t>
      </w:r>
    </w:p>
    <w:p>
      <w:pPr>
        <w:pStyle w:val="9"/>
        <w:keepNext w:val="0"/>
        <w:keepLines w:val="0"/>
        <w:pageBreakBefore w:val="0"/>
        <w:widowControl/>
        <w:kinsoku/>
        <w:wordWrap/>
        <w:overflowPunct/>
        <w:topLinePunct w:val="0"/>
        <w:autoSpaceDE/>
        <w:autoSpaceDN/>
        <w:bidi w:val="0"/>
        <w:adjustRightInd w:val="0"/>
        <w:snapToGrid w:val="0"/>
        <w:spacing w:before="0" w:beforeAutospacing="0" w:after="0" w:afterAutospacing="0" w:line="560" w:lineRule="exact"/>
        <w:ind w:firstLine="640" w:firstLineChars="200"/>
        <w:jc w:val="both"/>
        <w:textAlignment w:val="auto"/>
        <w:rPr>
          <w:rFonts w:hint="default" w:ascii="Times New Roman" w:hAnsi="Times New Roman" w:eastAsia="方正仿宋_GBK" w:cs="Times New Roman"/>
          <w:b w:val="0"/>
          <w:bCs w:val="0"/>
          <w:color w:val="auto"/>
          <w:sz w:val="32"/>
          <w:szCs w:val="32"/>
          <w:highlight w:val="none"/>
          <w:shd w:val="clear" w:color="auto" w:fill="FFFFFF"/>
        </w:rPr>
      </w:pPr>
      <w:r>
        <w:rPr>
          <w:rFonts w:hint="default" w:ascii="Times New Roman" w:hAnsi="Times New Roman" w:eastAsia="方正仿宋_GBK" w:cs="Times New Roman"/>
          <w:b w:val="0"/>
          <w:bCs w:val="0"/>
          <w:color w:val="auto"/>
          <w:sz w:val="32"/>
          <w:szCs w:val="32"/>
          <w:highlight w:val="none"/>
          <w:shd w:val="clear" w:color="auto" w:fill="FFFFFF"/>
        </w:rPr>
        <w:t>一般公共预算财政拨款支出主要</w:t>
      </w:r>
      <w:r>
        <w:rPr>
          <w:rFonts w:hint="default" w:ascii="Times New Roman" w:hAnsi="Times New Roman" w:eastAsia="方正仿宋_GBK" w:cs="Times New Roman"/>
          <w:b w:val="0"/>
          <w:bCs w:val="0"/>
          <w:color w:val="auto"/>
          <w:sz w:val="32"/>
          <w:szCs w:val="32"/>
          <w:highlight w:val="none"/>
          <w:shd w:val="clear" w:color="auto" w:fill="FFFFFF"/>
          <w:lang w:eastAsia="zh-CN"/>
        </w:rPr>
        <w:t>用途如下</w:t>
      </w:r>
      <w:r>
        <w:rPr>
          <w:rFonts w:hint="default" w:ascii="Times New Roman" w:hAnsi="Times New Roman" w:eastAsia="方正仿宋_GBK" w:cs="Times New Roman"/>
          <w:b w:val="0"/>
          <w:bCs w:val="0"/>
          <w:color w:val="auto"/>
          <w:sz w:val="32"/>
          <w:szCs w:val="32"/>
          <w:highlight w:val="none"/>
          <w:shd w:val="clear" w:color="auto" w:fill="FFFFFF"/>
        </w:rPr>
        <w:t>：</w:t>
      </w:r>
    </w:p>
    <w:p>
      <w:pPr>
        <w:pStyle w:val="9"/>
        <w:keepNext w:val="0"/>
        <w:keepLines w:val="0"/>
        <w:pageBreakBefore w:val="0"/>
        <w:widowControl/>
        <w:kinsoku/>
        <w:wordWrap/>
        <w:overflowPunct/>
        <w:topLinePunct w:val="0"/>
        <w:autoSpaceDN/>
        <w:bidi w:val="0"/>
        <w:adjustRightInd w:val="0"/>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val="0"/>
          <w:color w:val="auto"/>
          <w:sz w:val="32"/>
          <w:szCs w:val="32"/>
        </w:rPr>
      </w:pPr>
      <w:r>
        <w:rPr>
          <w:rFonts w:hint="default" w:ascii="Times New Roman" w:hAnsi="Times New Roman" w:eastAsia="方正仿宋_GBK" w:cs="Times New Roman"/>
          <w:b w:val="0"/>
          <w:bCs w:val="0"/>
          <w:color w:val="auto"/>
          <w:sz w:val="32"/>
          <w:szCs w:val="32"/>
          <w:shd w:val="clear" w:color="auto" w:fill="FFFFFF"/>
        </w:rPr>
        <w:t>（</w:t>
      </w:r>
      <w:r>
        <w:rPr>
          <w:rFonts w:hint="default" w:ascii="Times New Roman" w:hAnsi="Times New Roman" w:eastAsia="方正仿宋_GBK" w:cs="Times New Roman"/>
          <w:b w:val="0"/>
          <w:bCs w:val="0"/>
          <w:color w:val="auto"/>
          <w:sz w:val="32"/>
          <w:szCs w:val="32"/>
          <w:shd w:val="clear" w:color="auto" w:fill="FFFFFF"/>
          <w:lang w:val="en-US" w:eastAsia="zh-CN"/>
        </w:rPr>
        <w:t>1</w:t>
      </w:r>
      <w:r>
        <w:rPr>
          <w:rFonts w:hint="default" w:ascii="Times New Roman" w:hAnsi="Times New Roman" w:eastAsia="方正仿宋_GBK" w:cs="Times New Roman"/>
          <w:b w:val="0"/>
          <w:bCs w:val="0"/>
          <w:color w:val="auto"/>
          <w:sz w:val="32"/>
          <w:szCs w:val="32"/>
          <w:shd w:val="clear" w:color="auto" w:fill="FFFFFF"/>
        </w:rPr>
        <w:t>）社会保障</w:t>
      </w:r>
      <w:r>
        <w:rPr>
          <w:rFonts w:hint="default" w:ascii="Times New Roman" w:hAnsi="Times New Roman" w:eastAsia="方正仿宋_GBK" w:cs="Times New Roman"/>
          <w:b w:val="0"/>
          <w:bCs w:val="0"/>
          <w:color w:val="auto"/>
          <w:sz w:val="32"/>
          <w:szCs w:val="32"/>
          <w:shd w:val="clear" w:color="auto" w:fill="FFFFFF"/>
          <w:lang w:eastAsia="zh-CN"/>
        </w:rPr>
        <w:t>和</w:t>
      </w:r>
      <w:r>
        <w:rPr>
          <w:rFonts w:hint="default" w:ascii="Times New Roman" w:hAnsi="Times New Roman" w:eastAsia="方正仿宋_GBK" w:cs="Times New Roman"/>
          <w:b w:val="0"/>
          <w:bCs w:val="0"/>
          <w:color w:val="auto"/>
          <w:sz w:val="32"/>
          <w:szCs w:val="32"/>
          <w:shd w:val="clear" w:color="auto" w:fill="FFFFFF"/>
        </w:rPr>
        <w:t>就业支出33.60万元，占13.4%，较年初预算数增加9.28万元，增长38.2%，主要</w:t>
      </w:r>
      <w:r>
        <w:rPr>
          <w:rFonts w:hint="default" w:ascii="Times New Roman" w:hAnsi="Times New Roman" w:eastAsia="方正仿宋_GBK" w:cs="Times New Roman"/>
          <w:b w:val="0"/>
          <w:bCs w:val="0"/>
          <w:color w:val="auto"/>
          <w:sz w:val="32"/>
          <w:szCs w:val="32"/>
          <w:shd w:val="clear" w:color="auto" w:fill="FFFFFF"/>
          <w:lang w:val="en-US" w:eastAsia="zh-CN"/>
        </w:rPr>
        <w:t>202</w:t>
      </w:r>
      <w:r>
        <w:rPr>
          <w:rFonts w:hint="eastAsia" w:ascii="Times New Roman" w:hAnsi="Times New Roman" w:eastAsia="方正仿宋_GBK" w:cs="Times New Roman"/>
          <w:b w:val="0"/>
          <w:bCs w:val="0"/>
          <w:color w:val="auto"/>
          <w:sz w:val="32"/>
          <w:szCs w:val="32"/>
          <w:shd w:val="clear" w:color="auto" w:fill="FFFFFF"/>
          <w:lang w:val="en-US" w:eastAsia="zh-CN"/>
        </w:rPr>
        <w:t>4</w:t>
      </w:r>
      <w:r>
        <w:rPr>
          <w:rFonts w:hint="default" w:ascii="Times New Roman" w:hAnsi="Times New Roman" w:eastAsia="方正仿宋_GBK" w:cs="Times New Roman"/>
          <w:b w:val="0"/>
          <w:bCs w:val="0"/>
          <w:color w:val="auto"/>
          <w:kern w:val="0"/>
          <w:sz w:val="32"/>
          <w:szCs w:val="32"/>
          <w:lang w:val="en-US" w:eastAsia="zh-CN" w:bidi="ar"/>
        </w:rPr>
        <w:t>社保基数调整，支出相应增加。</w:t>
      </w:r>
    </w:p>
    <w:p>
      <w:pPr>
        <w:pStyle w:val="9"/>
        <w:keepNext w:val="0"/>
        <w:keepLines w:val="0"/>
        <w:pageBreakBefore w:val="0"/>
        <w:widowControl/>
        <w:suppressLineNumbers w:val="0"/>
        <w:kinsoku/>
        <w:wordWrap/>
        <w:overflowPunct/>
        <w:topLinePunct w:val="0"/>
        <w:autoSpaceDN/>
        <w:bidi w:val="0"/>
        <w:adjustRightInd w:val="0"/>
        <w:snapToGrid w:val="0"/>
        <w:spacing w:before="0" w:beforeAutospacing="0" w:after="0" w:afterAutospacing="0" w:line="560" w:lineRule="exact"/>
        <w:ind w:left="0" w:firstLine="640" w:firstLineChars="200"/>
        <w:jc w:val="both"/>
        <w:textAlignment w:val="auto"/>
        <w:outlineLvl w:val="9"/>
        <w:rPr>
          <w:rFonts w:hint="default" w:ascii="Times New Roman" w:hAnsi="Times New Roman" w:eastAsia="方正仿宋_GBK" w:cs="Times New Roman"/>
          <w:b w:val="0"/>
          <w:bCs w:val="0"/>
          <w:color w:val="auto"/>
          <w:sz w:val="32"/>
          <w:szCs w:val="32"/>
        </w:rPr>
      </w:pPr>
      <w:r>
        <w:rPr>
          <w:rFonts w:hint="default" w:ascii="Times New Roman" w:hAnsi="Times New Roman" w:eastAsia="方正仿宋_GBK" w:cs="Times New Roman"/>
          <w:b w:val="0"/>
          <w:bCs w:val="0"/>
          <w:color w:val="auto"/>
          <w:sz w:val="32"/>
          <w:szCs w:val="32"/>
          <w:shd w:val="clear" w:color="auto" w:fill="FFFFFF"/>
        </w:rPr>
        <w:t>（</w:t>
      </w:r>
      <w:r>
        <w:rPr>
          <w:rFonts w:hint="default" w:ascii="Times New Roman" w:hAnsi="Times New Roman" w:eastAsia="方正仿宋_GBK" w:cs="Times New Roman"/>
          <w:b w:val="0"/>
          <w:bCs w:val="0"/>
          <w:color w:val="auto"/>
          <w:sz w:val="32"/>
          <w:szCs w:val="32"/>
          <w:shd w:val="clear" w:color="auto" w:fill="FFFFFF"/>
          <w:lang w:val="en-US" w:eastAsia="zh-CN"/>
        </w:rPr>
        <w:t>2</w:t>
      </w:r>
      <w:r>
        <w:rPr>
          <w:rFonts w:hint="default" w:ascii="Times New Roman" w:hAnsi="Times New Roman" w:eastAsia="方正仿宋_GBK" w:cs="Times New Roman"/>
          <w:b w:val="0"/>
          <w:bCs w:val="0"/>
          <w:color w:val="auto"/>
          <w:sz w:val="32"/>
          <w:szCs w:val="32"/>
          <w:shd w:val="clear" w:color="auto" w:fill="FFFFFF"/>
        </w:rPr>
        <w:t>）卫生健康支出207.46万元，占82.9%，较年初预算数增加51.65万元，增长33.2%，主要原因是</w:t>
      </w:r>
      <w:r>
        <w:rPr>
          <w:rFonts w:hint="default" w:ascii="Times New Roman" w:hAnsi="Times New Roman" w:eastAsia="方正仿宋_GBK" w:cs="Times New Roman"/>
          <w:b w:val="0"/>
          <w:bCs w:val="0"/>
          <w:color w:val="auto"/>
          <w:kern w:val="0"/>
          <w:sz w:val="32"/>
          <w:szCs w:val="32"/>
          <w:lang w:val="en-US" w:eastAsia="zh-CN" w:bidi="ar"/>
        </w:rPr>
        <w:t>年初预算主要是根据基本情况预估核算，实际财政收入由财政根据资金分配情况统一安排拨款，因此财政拨款支出与年初预算有相应差异。</w:t>
      </w:r>
    </w:p>
    <w:p>
      <w:pPr>
        <w:pStyle w:val="9"/>
        <w:keepNext w:val="0"/>
        <w:keepLines w:val="0"/>
        <w:pageBreakBefore w:val="0"/>
        <w:widowControl/>
        <w:suppressLineNumbers w:val="0"/>
        <w:kinsoku/>
        <w:wordWrap/>
        <w:overflowPunct/>
        <w:topLinePunct w:val="0"/>
        <w:autoSpaceDN/>
        <w:bidi w:val="0"/>
        <w:adjustRightInd w:val="0"/>
        <w:snapToGrid w:val="0"/>
        <w:spacing w:before="0" w:beforeAutospacing="0" w:after="0" w:afterAutospacing="0" w:line="560" w:lineRule="exact"/>
        <w:ind w:left="0" w:firstLine="640" w:firstLineChars="200"/>
        <w:jc w:val="both"/>
        <w:textAlignment w:val="auto"/>
        <w:outlineLvl w:val="9"/>
        <w:rPr>
          <w:rFonts w:hint="default" w:ascii="Times New Roman" w:hAnsi="Times New Roman" w:eastAsia="方正仿宋_GBK" w:cs="Times New Roman"/>
          <w:b w:val="0"/>
          <w:bCs w:val="0"/>
          <w:color w:val="auto"/>
          <w:sz w:val="32"/>
          <w:szCs w:val="32"/>
          <w:shd w:val="clear" w:color="auto" w:fill="FFFFFF"/>
          <w:lang w:val="en-US"/>
        </w:rPr>
      </w:pPr>
      <w:r>
        <w:rPr>
          <w:rFonts w:hint="default" w:ascii="Times New Roman" w:hAnsi="Times New Roman" w:eastAsia="方正仿宋_GBK" w:cs="Times New Roman"/>
          <w:b w:val="0"/>
          <w:bCs w:val="0"/>
          <w:color w:val="auto"/>
          <w:sz w:val="32"/>
          <w:szCs w:val="32"/>
          <w:shd w:val="clear" w:color="auto" w:fill="FFFFFF"/>
        </w:rPr>
        <w:t>（</w:t>
      </w:r>
      <w:r>
        <w:rPr>
          <w:rFonts w:hint="default" w:ascii="Times New Roman" w:hAnsi="Times New Roman" w:eastAsia="方正仿宋_GBK" w:cs="Times New Roman"/>
          <w:b w:val="0"/>
          <w:bCs w:val="0"/>
          <w:color w:val="auto"/>
          <w:sz w:val="32"/>
          <w:szCs w:val="32"/>
          <w:shd w:val="clear" w:color="auto" w:fill="FFFFFF"/>
          <w:lang w:val="en-US" w:eastAsia="zh-CN"/>
        </w:rPr>
        <w:t>3</w:t>
      </w:r>
      <w:r>
        <w:rPr>
          <w:rFonts w:hint="default" w:ascii="Times New Roman" w:hAnsi="Times New Roman" w:eastAsia="方正仿宋_GBK" w:cs="Times New Roman"/>
          <w:b w:val="0"/>
          <w:bCs w:val="0"/>
          <w:color w:val="auto"/>
          <w:sz w:val="32"/>
          <w:szCs w:val="32"/>
          <w:shd w:val="clear" w:color="auto" w:fill="FFFFFF"/>
        </w:rPr>
        <w:t>）农林水支出0.00万元，占0.0%，较年初预算数减少20.00万元，下降100.0%，主要原因是</w:t>
      </w:r>
      <w:r>
        <w:rPr>
          <w:rFonts w:hint="default" w:ascii="Times New Roman" w:hAnsi="Times New Roman" w:eastAsia="方正仿宋_GBK" w:cs="Times New Roman"/>
          <w:b w:val="0"/>
          <w:bCs w:val="0"/>
          <w:color w:val="auto"/>
          <w:kern w:val="0"/>
          <w:sz w:val="32"/>
          <w:szCs w:val="32"/>
          <w:lang w:val="en-US" w:eastAsia="zh-CN" w:bidi="ar"/>
        </w:rPr>
        <w:t>年初预算主要是根据基本情况预估核算，实际财政收入由财政根据资金分配情况统一安排拨款，因此财政拨款支出与年初预算有相应差异。</w:t>
      </w:r>
    </w:p>
    <w:p>
      <w:pPr>
        <w:keepNext w:val="0"/>
        <w:keepLines w:val="0"/>
        <w:pageBreakBefore w:val="0"/>
        <w:kinsoku/>
        <w:wordWrap/>
        <w:overflowPunct/>
        <w:topLinePunct w:val="0"/>
        <w:autoSpaceDN/>
        <w:bidi w:val="0"/>
        <w:adjustRightInd w:val="0"/>
        <w:snapToGrid w:val="0"/>
        <w:spacing w:line="560" w:lineRule="exact"/>
        <w:ind w:firstLine="640" w:firstLineChars="200"/>
        <w:jc w:val="both"/>
        <w:textAlignment w:val="auto"/>
        <w:rPr>
          <w:rFonts w:hint="default" w:ascii="Times New Roman" w:hAnsi="Times New Roman" w:eastAsia="方正仿宋_GBK" w:cs="Times New Roman"/>
          <w:b w:val="0"/>
          <w:bCs w:val="0"/>
          <w:color w:val="auto"/>
          <w:sz w:val="32"/>
          <w:szCs w:val="32"/>
          <w:shd w:val="clear" w:color="auto" w:fill="FFFFFF"/>
          <w:lang w:val="en-US" w:eastAsia="zh-CN"/>
        </w:rPr>
      </w:pPr>
      <w:r>
        <w:rPr>
          <w:rFonts w:hint="default" w:ascii="Times New Roman" w:hAnsi="Times New Roman" w:eastAsia="方正仿宋_GBK" w:cs="Times New Roman"/>
          <w:b w:val="0"/>
          <w:bCs w:val="0"/>
          <w:color w:val="auto"/>
          <w:sz w:val="32"/>
          <w:szCs w:val="32"/>
          <w:shd w:val="clear" w:color="auto" w:fill="FFFFFF"/>
        </w:rPr>
        <w:t>（</w:t>
      </w:r>
      <w:r>
        <w:rPr>
          <w:rFonts w:hint="default" w:ascii="Times New Roman" w:hAnsi="Times New Roman" w:eastAsia="方正仿宋_GBK" w:cs="Times New Roman"/>
          <w:b w:val="0"/>
          <w:bCs w:val="0"/>
          <w:color w:val="auto"/>
          <w:sz w:val="32"/>
          <w:szCs w:val="32"/>
          <w:shd w:val="clear" w:color="auto" w:fill="FFFFFF"/>
          <w:lang w:val="en-US" w:eastAsia="zh-CN"/>
        </w:rPr>
        <w:t>4</w:t>
      </w:r>
      <w:r>
        <w:rPr>
          <w:rFonts w:hint="default" w:ascii="Times New Roman" w:hAnsi="Times New Roman" w:eastAsia="方正仿宋_GBK" w:cs="Times New Roman"/>
          <w:b w:val="0"/>
          <w:bCs w:val="0"/>
          <w:color w:val="auto"/>
          <w:sz w:val="32"/>
          <w:szCs w:val="32"/>
          <w:shd w:val="clear" w:color="auto" w:fill="FFFFFF"/>
        </w:rPr>
        <w:t>）</w:t>
      </w:r>
      <w:r>
        <w:rPr>
          <w:rFonts w:hint="default" w:ascii="Times New Roman" w:hAnsi="Times New Roman" w:eastAsia="方正仿宋_GBK" w:cs="Times New Roman"/>
          <w:b w:val="0"/>
          <w:bCs w:val="0"/>
          <w:color w:val="auto"/>
          <w:sz w:val="32"/>
          <w:szCs w:val="32"/>
        </w:rPr>
        <w:t>住房保障支出</w:t>
      </w:r>
      <w:r>
        <w:rPr>
          <w:rFonts w:hint="default" w:ascii="Times New Roman" w:hAnsi="Times New Roman" w:eastAsia="方正仿宋_GBK" w:cs="Times New Roman"/>
          <w:b w:val="0"/>
          <w:bCs w:val="0"/>
          <w:color w:val="auto"/>
          <w:sz w:val="32"/>
          <w:szCs w:val="32"/>
          <w:shd w:val="clear" w:color="auto" w:fill="FFFFFF"/>
        </w:rPr>
        <w:t>9.06万元，占3.6%，较年初预算数无增减，主要原因是</w:t>
      </w:r>
      <w:r>
        <w:rPr>
          <w:rFonts w:hint="default" w:ascii="Times New Roman" w:hAnsi="Times New Roman" w:eastAsia="方正仿宋_GBK" w:cs="Times New Roman"/>
          <w:b w:val="0"/>
          <w:bCs w:val="0"/>
          <w:color w:val="auto"/>
          <w:sz w:val="32"/>
          <w:szCs w:val="32"/>
          <w:shd w:val="clear" w:color="auto" w:fill="FFFFFF"/>
          <w:lang w:val="en-US" w:eastAsia="zh-CN"/>
        </w:rPr>
        <w:t>人员增减数量无变化</w:t>
      </w:r>
      <w:r>
        <w:rPr>
          <w:rFonts w:hint="eastAsia" w:ascii="Times New Roman" w:hAnsi="Times New Roman" w:eastAsia="方正仿宋_GBK" w:cs="Times New Roman"/>
          <w:b w:val="0"/>
          <w:bCs w:val="0"/>
          <w:color w:val="auto"/>
          <w:sz w:val="32"/>
          <w:szCs w:val="32"/>
          <w:shd w:val="clear" w:color="auto" w:fill="FFFFFF"/>
          <w:lang w:val="en-US" w:eastAsia="zh-CN"/>
        </w:rPr>
        <w:t>。</w:t>
      </w:r>
    </w:p>
    <w:p>
      <w:pPr>
        <w:pStyle w:val="9"/>
        <w:keepNext w:val="0"/>
        <w:keepLines w:val="0"/>
        <w:pageBreakBefore w:val="0"/>
        <w:kinsoku/>
        <w:wordWrap/>
        <w:overflowPunct/>
        <w:topLinePunct w:val="0"/>
        <w:autoSpaceDN/>
        <w:bidi w:val="0"/>
        <w:adjustRightInd w:val="0"/>
        <w:snapToGrid w:val="0"/>
        <w:spacing w:before="0" w:beforeAutospacing="0" w:after="0" w:afterAutospacing="0" w:line="560" w:lineRule="exact"/>
        <w:ind w:firstLine="640" w:firstLineChars="200"/>
        <w:jc w:val="both"/>
        <w:textAlignment w:val="auto"/>
        <w:rPr>
          <w:rFonts w:hint="default" w:ascii="Times New Roman" w:hAnsi="Times New Roman" w:eastAsia="方正仿宋_GBK" w:cs="Times New Roman"/>
          <w:b w:val="0"/>
          <w:bCs w:val="0"/>
          <w:color w:val="auto"/>
          <w:sz w:val="32"/>
          <w:szCs w:val="32"/>
          <w:shd w:val="clear" w:color="auto" w:fill="FFFFFF"/>
          <w:lang w:val="en-US" w:eastAsia="zh-CN"/>
        </w:rPr>
      </w:pPr>
      <w:r>
        <w:rPr>
          <w:rStyle w:val="11"/>
          <w:rFonts w:hint="default" w:ascii="Times New Roman" w:hAnsi="Times New Roman" w:eastAsia="方正仿宋_GBK" w:cs="Times New Roman"/>
          <w:b w:val="0"/>
          <w:bCs w:val="0"/>
          <w:color w:val="auto"/>
          <w:sz w:val="32"/>
          <w:szCs w:val="32"/>
          <w:shd w:val="clear" w:color="auto" w:fill="FFFFFF"/>
        </w:rPr>
        <w:t>3.结转结余情况。</w:t>
      </w:r>
      <w:r>
        <w:rPr>
          <w:rFonts w:hint="default" w:ascii="Times New Roman" w:hAnsi="Times New Roman" w:eastAsia="方正仿宋_GBK" w:cs="Times New Roman"/>
          <w:b w:val="0"/>
          <w:bCs w:val="0"/>
          <w:color w:val="auto"/>
          <w:sz w:val="32"/>
          <w:szCs w:val="32"/>
          <w:shd w:val="clear" w:color="auto" w:fill="FFFFFF"/>
        </w:rPr>
        <w:t>2024年度年末一般公共预算财政拨款结转和结余0.00万元，与2023年度相比，减少7.76万元，下降100.0%，主要原因是</w:t>
      </w:r>
      <w:r>
        <w:rPr>
          <w:rFonts w:hint="default" w:ascii="Times New Roman" w:hAnsi="Times New Roman" w:eastAsia="方正仿宋_GBK" w:cs="Times New Roman"/>
          <w:b w:val="0"/>
          <w:bCs w:val="0"/>
          <w:color w:val="auto"/>
          <w:sz w:val="32"/>
          <w:szCs w:val="32"/>
          <w:shd w:val="clear" w:color="auto" w:fill="FFFFFF"/>
          <w:lang w:val="en-US" w:eastAsia="zh-CN"/>
        </w:rPr>
        <w:t>2022年超额绩效清算未</w:t>
      </w:r>
      <w:r>
        <w:rPr>
          <w:rFonts w:hint="eastAsia" w:ascii="Times New Roman" w:hAnsi="Times New Roman" w:eastAsia="方正仿宋_GBK" w:cs="Times New Roman"/>
          <w:b w:val="0"/>
          <w:bCs w:val="0"/>
          <w:color w:val="auto"/>
          <w:sz w:val="32"/>
          <w:szCs w:val="32"/>
          <w:shd w:val="clear" w:color="auto" w:fill="FFFFFF"/>
          <w:lang w:val="en-US" w:eastAsia="zh-CN"/>
        </w:rPr>
        <w:t>支付结转到2023年度，本年度无此情况。</w:t>
      </w:r>
    </w:p>
    <w:p>
      <w:pPr>
        <w:pStyle w:val="9"/>
        <w:keepNext w:val="0"/>
        <w:keepLines w:val="0"/>
        <w:pageBreakBefore w:val="0"/>
        <w:widowControl/>
        <w:shd w:val="clear" w:color="auto" w:fill="FFFFFF"/>
        <w:kinsoku/>
        <w:wordWrap/>
        <w:overflowPunct/>
        <w:topLinePunct w:val="0"/>
        <w:autoSpaceDE/>
        <w:autoSpaceDN/>
        <w:bidi w:val="0"/>
        <w:adjustRightInd w:val="0"/>
        <w:snapToGrid w:val="0"/>
        <w:spacing w:before="0" w:beforeAutospacing="0" w:after="0" w:afterAutospacing="0" w:line="560" w:lineRule="exact"/>
        <w:ind w:firstLine="640" w:firstLineChars="200"/>
        <w:jc w:val="both"/>
        <w:textAlignment w:val="auto"/>
        <w:rPr>
          <w:rStyle w:val="11"/>
          <w:rFonts w:hint="default" w:ascii="Times New Roman" w:hAnsi="Times New Roman" w:eastAsia="方正楷体_GBK" w:cs="Times New Roman"/>
          <w:b w:val="0"/>
          <w:bCs w:val="0"/>
          <w:color w:val="auto"/>
          <w:sz w:val="32"/>
          <w:szCs w:val="32"/>
          <w:shd w:val="clear" w:color="auto" w:fill="FFFFFF"/>
        </w:rPr>
      </w:pPr>
      <w:r>
        <w:rPr>
          <w:rStyle w:val="11"/>
          <w:rFonts w:hint="default" w:ascii="Times New Roman" w:hAnsi="Times New Roman" w:eastAsia="方正楷体_GBK" w:cs="Times New Roman"/>
          <w:b w:val="0"/>
          <w:bCs w:val="0"/>
          <w:color w:val="auto"/>
          <w:sz w:val="32"/>
          <w:szCs w:val="32"/>
          <w:shd w:val="clear" w:color="auto" w:fill="FFFFFF"/>
        </w:rPr>
        <w:t>（四）一般公共预算财政拨款基本支出决算情况说明</w:t>
      </w:r>
    </w:p>
    <w:p>
      <w:pPr>
        <w:pStyle w:val="9"/>
        <w:keepNext w:val="0"/>
        <w:keepLines w:val="0"/>
        <w:pageBreakBefore w:val="0"/>
        <w:kinsoku/>
        <w:wordWrap/>
        <w:overflowPunct/>
        <w:topLinePunct w:val="0"/>
        <w:autoSpaceDN/>
        <w:bidi w:val="0"/>
        <w:adjustRightInd w:val="0"/>
        <w:snapToGrid w:val="0"/>
        <w:spacing w:before="0" w:beforeAutospacing="0" w:after="0" w:afterAutospacing="0" w:line="560" w:lineRule="exact"/>
        <w:ind w:firstLine="640" w:firstLineChars="200"/>
        <w:jc w:val="both"/>
        <w:textAlignment w:val="auto"/>
        <w:rPr>
          <w:rFonts w:hint="default" w:ascii="Times New Roman" w:hAnsi="Times New Roman" w:eastAsia="方正仿宋_GBK" w:cs="Times New Roman"/>
          <w:b w:val="0"/>
          <w:bCs w:val="0"/>
          <w:color w:val="auto"/>
          <w:sz w:val="32"/>
          <w:szCs w:val="32"/>
          <w:shd w:val="clear" w:color="auto" w:fill="FFFFFF"/>
        </w:rPr>
      </w:pPr>
      <w:r>
        <w:rPr>
          <w:rFonts w:hint="default" w:ascii="Times New Roman" w:hAnsi="Times New Roman" w:eastAsia="方正仿宋_GBK" w:cs="Times New Roman"/>
          <w:b w:val="0"/>
          <w:bCs w:val="0"/>
          <w:color w:val="auto"/>
          <w:sz w:val="32"/>
          <w:szCs w:val="32"/>
          <w:shd w:val="clear" w:color="auto" w:fill="FFFFFF"/>
        </w:rPr>
        <w:t>2024年度一般公共财政拨款基本支出240.99万元。</w:t>
      </w:r>
    </w:p>
    <w:p>
      <w:pPr>
        <w:pStyle w:val="9"/>
        <w:keepNext w:val="0"/>
        <w:keepLines w:val="0"/>
        <w:pageBreakBefore w:val="0"/>
        <w:kinsoku/>
        <w:wordWrap/>
        <w:overflowPunct/>
        <w:topLinePunct w:val="0"/>
        <w:autoSpaceDN/>
        <w:bidi w:val="0"/>
        <w:adjustRightInd w:val="0"/>
        <w:snapToGrid w:val="0"/>
        <w:spacing w:before="0" w:beforeAutospacing="0" w:after="0" w:afterAutospacing="0" w:line="560" w:lineRule="exact"/>
        <w:jc w:val="both"/>
        <w:textAlignment w:val="auto"/>
        <w:rPr>
          <w:rFonts w:hint="default" w:ascii="Times New Roman" w:hAnsi="Times New Roman" w:eastAsia="方正仿宋_GBK" w:cs="Times New Roman"/>
          <w:b w:val="0"/>
          <w:bCs w:val="0"/>
          <w:color w:val="auto"/>
          <w:sz w:val="32"/>
          <w:szCs w:val="32"/>
          <w:shd w:val="clear" w:color="auto" w:fill="FFFFFF"/>
        </w:rPr>
      </w:pPr>
      <w:r>
        <w:rPr>
          <w:rFonts w:hint="default" w:ascii="Times New Roman" w:hAnsi="Times New Roman" w:eastAsia="方正仿宋_GBK" w:cs="Times New Roman"/>
          <w:b w:val="0"/>
          <w:bCs w:val="0"/>
          <w:color w:val="auto"/>
          <w:sz w:val="32"/>
          <w:szCs w:val="32"/>
          <w:shd w:val="clear" w:color="auto" w:fill="FFFFFF"/>
        </w:rPr>
        <w:t>其中：</w:t>
      </w:r>
    </w:p>
    <w:p>
      <w:pPr>
        <w:pStyle w:val="9"/>
        <w:keepNext w:val="0"/>
        <w:keepLines w:val="0"/>
        <w:pageBreakBefore w:val="0"/>
        <w:kinsoku/>
        <w:wordWrap/>
        <w:overflowPunct/>
        <w:topLinePunct w:val="0"/>
        <w:autoSpaceDN/>
        <w:bidi w:val="0"/>
        <w:adjustRightInd w:val="0"/>
        <w:snapToGrid w:val="0"/>
        <w:spacing w:before="0" w:beforeAutospacing="0" w:after="0" w:afterAutospacing="0" w:line="560" w:lineRule="exact"/>
        <w:ind w:firstLine="640" w:firstLineChars="200"/>
        <w:jc w:val="both"/>
        <w:textAlignment w:val="auto"/>
        <w:rPr>
          <w:rFonts w:hint="default" w:ascii="Times New Roman" w:hAnsi="Times New Roman" w:eastAsia="方正仿宋_GBK" w:cs="Times New Roman"/>
          <w:b w:val="0"/>
          <w:bCs w:val="0"/>
          <w:color w:val="auto"/>
          <w:kern w:val="0"/>
          <w:sz w:val="32"/>
          <w:szCs w:val="32"/>
          <w:lang w:val="en-US" w:eastAsia="zh-CN" w:bidi="ar"/>
        </w:rPr>
      </w:pPr>
      <w:r>
        <w:rPr>
          <w:rFonts w:hint="default" w:ascii="Times New Roman" w:hAnsi="Times New Roman" w:eastAsia="方正仿宋_GBK" w:cs="Times New Roman"/>
          <w:b w:val="0"/>
          <w:bCs w:val="0"/>
          <w:color w:val="auto"/>
          <w:sz w:val="32"/>
          <w:szCs w:val="32"/>
          <w:shd w:val="clear" w:color="auto" w:fill="FFFFFF"/>
        </w:rPr>
        <w:t>人员经费240.99万元，与2023年度相比，减少44.23万元，下降15.5%，主要原因是</w:t>
      </w:r>
      <w:r>
        <w:rPr>
          <w:rFonts w:hint="default" w:ascii="Times New Roman" w:hAnsi="Times New Roman" w:eastAsia="方正仿宋_GBK" w:cs="Times New Roman"/>
          <w:b w:val="0"/>
          <w:bCs w:val="0"/>
          <w:color w:val="auto"/>
          <w:sz w:val="32"/>
          <w:szCs w:val="32"/>
          <w:shd w:val="clear" w:color="auto" w:fill="FFFFFF"/>
          <w:lang w:val="en-US" w:eastAsia="zh-CN"/>
        </w:rPr>
        <w:t>业务收入减少，基本公共卫生资金本年度</w:t>
      </w:r>
      <w:r>
        <w:rPr>
          <w:rFonts w:hint="eastAsia" w:ascii="Times New Roman" w:hAnsi="Times New Roman" w:eastAsia="方正仿宋_GBK" w:cs="Times New Roman"/>
          <w:b w:val="0"/>
          <w:bCs w:val="0"/>
          <w:color w:val="auto"/>
          <w:sz w:val="32"/>
          <w:szCs w:val="32"/>
          <w:shd w:val="clear" w:color="auto" w:fill="FFFFFF"/>
          <w:lang w:val="en-US" w:eastAsia="zh-CN"/>
        </w:rPr>
        <w:t>拨付下降</w:t>
      </w:r>
      <w:r>
        <w:rPr>
          <w:rFonts w:hint="default" w:ascii="Times New Roman" w:hAnsi="Times New Roman" w:eastAsia="方正仿宋_GBK" w:cs="Times New Roman"/>
          <w:b w:val="0"/>
          <w:bCs w:val="0"/>
          <w:color w:val="auto"/>
          <w:sz w:val="32"/>
          <w:szCs w:val="32"/>
          <w:shd w:val="clear" w:color="auto" w:fill="FFFFFF"/>
          <w:lang w:val="en-US" w:eastAsia="zh-CN"/>
        </w:rPr>
        <w:t>，</w:t>
      </w:r>
      <w:r>
        <w:rPr>
          <w:rFonts w:hint="default" w:ascii="Times New Roman" w:hAnsi="Times New Roman" w:eastAsia="方正仿宋_GBK" w:cs="Times New Roman"/>
          <w:b w:val="0"/>
          <w:bCs w:val="0"/>
          <w:color w:val="auto"/>
          <w:sz w:val="32"/>
          <w:szCs w:val="32"/>
          <w:shd w:val="clear" w:color="auto" w:fill="FFFFFF"/>
        </w:rPr>
        <w:t>人员经费用途主要包括</w:t>
      </w:r>
      <w:r>
        <w:rPr>
          <w:rFonts w:hint="default" w:ascii="Times New Roman" w:hAnsi="Times New Roman" w:eastAsia="方正仿宋_GBK" w:cs="Times New Roman"/>
          <w:b w:val="0"/>
          <w:bCs w:val="0"/>
          <w:color w:val="auto"/>
          <w:kern w:val="0"/>
          <w:sz w:val="32"/>
          <w:szCs w:val="32"/>
          <w:lang w:val="en-US" w:eastAsia="zh-CN" w:bidi="ar"/>
        </w:rPr>
        <w:t>人员社会保障、工资、绩效、津补贴支出等。</w:t>
      </w:r>
    </w:p>
    <w:p>
      <w:pPr>
        <w:pStyle w:val="9"/>
        <w:keepNext w:val="0"/>
        <w:keepLines w:val="0"/>
        <w:pageBreakBefore w:val="0"/>
        <w:kinsoku/>
        <w:wordWrap/>
        <w:overflowPunct/>
        <w:topLinePunct w:val="0"/>
        <w:autoSpaceDN/>
        <w:bidi w:val="0"/>
        <w:adjustRightInd w:val="0"/>
        <w:snapToGrid w:val="0"/>
        <w:spacing w:before="0" w:beforeAutospacing="0" w:after="0" w:afterAutospacing="0" w:line="560" w:lineRule="exact"/>
        <w:ind w:firstLine="640" w:firstLineChars="200"/>
        <w:jc w:val="both"/>
        <w:textAlignment w:val="auto"/>
        <w:rPr>
          <w:rFonts w:hint="default" w:ascii="Times New Roman" w:hAnsi="Times New Roman" w:eastAsia="方正仿宋_GBK" w:cs="Times New Roman"/>
          <w:b w:val="0"/>
          <w:bCs w:val="0"/>
          <w:color w:val="auto"/>
          <w:sz w:val="32"/>
          <w:szCs w:val="32"/>
        </w:rPr>
      </w:pPr>
      <w:r>
        <w:rPr>
          <w:rFonts w:hint="default" w:ascii="Times New Roman" w:hAnsi="Times New Roman" w:eastAsia="方正仿宋_GBK" w:cs="Times New Roman"/>
          <w:b w:val="0"/>
          <w:bCs w:val="0"/>
          <w:color w:val="auto"/>
          <w:sz w:val="32"/>
          <w:szCs w:val="32"/>
          <w:shd w:val="clear" w:color="auto" w:fill="FFFFFF"/>
        </w:rPr>
        <w:t>公用经费0.00万元，与2023年度相比，减少23.36万元，下降100.0%，主要原因是</w:t>
      </w:r>
      <w:r>
        <w:rPr>
          <w:rFonts w:hint="default" w:ascii="Times New Roman" w:hAnsi="Times New Roman" w:eastAsia="方正仿宋_GBK" w:cs="Times New Roman"/>
          <w:b w:val="0"/>
          <w:bCs w:val="0"/>
          <w:color w:val="auto"/>
          <w:sz w:val="32"/>
          <w:szCs w:val="32"/>
          <w:shd w:val="clear" w:color="auto" w:fill="FFFFFF"/>
          <w:lang w:val="en-US" w:eastAsia="zh-CN"/>
        </w:rPr>
        <w:t>业务收入减少，相应的水电及办公用品减少</w:t>
      </w:r>
      <w:r>
        <w:rPr>
          <w:rFonts w:hint="default" w:ascii="Times New Roman" w:hAnsi="Times New Roman" w:eastAsia="方正仿宋_GBK" w:cs="Times New Roman"/>
          <w:b w:val="0"/>
          <w:bCs w:val="0"/>
          <w:color w:val="auto"/>
          <w:kern w:val="0"/>
          <w:sz w:val="32"/>
          <w:szCs w:val="32"/>
          <w:lang w:val="en-US" w:eastAsia="zh-CN" w:bidi="ar"/>
        </w:rPr>
        <w:t>。</w:t>
      </w:r>
      <w:r>
        <w:rPr>
          <w:rFonts w:hint="default" w:ascii="Times New Roman" w:hAnsi="Times New Roman" w:eastAsia="方正仿宋_GBK" w:cs="Times New Roman"/>
          <w:b w:val="0"/>
          <w:bCs w:val="0"/>
          <w:color w:val="auto"/>
          <w:sz w:val="32"/>
          <w:szCs w:val="32"/>
          <w:shd w:val="clear" w:color="auto" w:fill="FFFFFF"/>
        </w:rPr>
        <w:t>公用经费用途主要包括</w:t>
      </w:r>
      <w:r>
        <w:rPr>
          <w:rFonts w:hint="default" w:ascii="Times New Roman" w:hAnsi="Times New Roman" w:eastAsia="方正仿宋_GBK" w:cs="Times New Roman"/>
          <w:b w:val="0"/>
          <w:bCs w:val="0"/>
          <w:color w:val="auto"/>
          <w:kern w:val="0"/>
          <w:sz w:val="32"/>
          <w:szCs w:val="32"/>
          <w:lang w:val="en-US" w:eastAsia="zh-CN" w:bidi="ar"/>
        </w:rPr>
        <w:t>培训支出、差旅支出、水电支出等。</w:t>
      </w:r>
    </w:p>
    <w:p>
      <w:pPr>
        <w:pStyle w:val="9"/>
        <w:keepNext w:val="0"/>
        <w:keepLines w:val="0"/>
        <w:pageBreakBefore w:val="0"/>
        <w:widowControl/>
        <w:shd w:val="clear" w:color="auto" w:fill="FFFFFF"/>
        <w:kinsoku/>
        <w:wordWrap/>
        <w:overflowPunct/>
        <w:topLinePunct w:val="0"/>
        <w:autoSpaceDE/>
        <w:autoSpaceDN/>
        <w:bidi w:val="0"/>
        <w:adjustRightInd w:val="0"/>
        <w:snapToGrid w:val="0"/>
        <w:spacing w:before="0" w:beforeAutospacing="0" w:after="0" w:afterAutospacing="0" w:line="560" w:lineRule="exact"/>
        <w:ind w:firstLine="640" w:firstLineChars="200"/>
        <w:jc w:val="both"/>
        <w:textAlignment w:val="auto"/>
        <w:rPr>
          <w:rStyle w:val="11"/>
          <w:rFonts w:hint="default" w:ascii="Times New Roman" w:hAnsi="Times New Roman" w:eastAsia="方正楷体_GBK" w:cs="Times New Roman"/>
          <w:b w:val="0"/>
          <w:bCs w:val="0"/>
          <w:color w:val="auto"/>
          <w:sz w:val="32"/>
          <w:szCs w:val="32"/>
          <w:shd w:val="clear" w:color="auto" w:fill="FFFFFF"/>
        </w:rPr>
      </w:pPr>
      <w:r>
        <w:rPr>
          <w:rStyle w:val="11"/>
          <w:rFonts w:hint="default" w:ascii="Times New Roman" w:hAnsi="Times New Roman" w:eastAsia="方正楷体_GBK" w:cs="Times New Roman"/>
          <w:b w:val="0"/>
          <w:bCs w:val="0"/>
          <w:color w:val="auto"/>
          <w:sz w:val="32"/>
          <w:szCs w:val="32"/>
          <w:shd w:val="clear" w:color="auto" w:fill="FFFFFF"/>
        </w:rPr>
        <w:t>（五）政府性基金预算收支决算情况说明</w:t>
      </w:r>
    </w:p>
    <w:p>
      <w:pPr>
        <w:pStyle w:val="9"/>
        <w:keepNext w:val="0"/>
        <w:keepLines w:val="0"/>
        <w:pageBreakBefore w:val="0"/>
        <w:kinsoku/>
        <w:wordWrap/>
        <w:overflowPunct/>
        <w:topLinePunct w:val="0"/>
        <w:autoSpaceDN/>
        <w:bidi w:val="0"/>
        <w:adjustRightInd w:val="0"/>
        <w:snapToGrid w:val="0"/>
        <w:spacing w:before="0" w:beforeAutospacing="0" w:after="0" w:afterAutospacing="0" w:line="560" w:lineRule="exact"/>
        <w:ind w:firstLine="640" w:firstLineChars="200"/>
        <w:jc w:val="both"/>
        <w:textAlignment w:val="auto"/>
        <w:rPr>
          <w:rFonts w:hint="default" w:ascii="Times New Roman" w:hAnsi="Times New Roman" w:eastAsia="方正仿宋_GBK" w:cs="Times New Roman"/>
          <w:b w:val="0"/>
          <w:bCs w:val="0"/>
          <w:color w:val="auto"/>
          <w:sz w:val="32"/>
          <w:szCs w:val="32"/>
          <w:shd w:val="clear" w:color="auto" w:fill="FFFFFF"/>
        </w:rPr>
      </w:pPr>
      <w:r>
        <w:rPr>
          <w:rFonts w:hint="default" w:ascii="Times New Roman" w:hAnsi="Times New Roman" w:eastAsia="方正仿宋_GBK" w:cs="Times New Roman"/>
          <w:b w:val="0"/>
          <w:bCs w:val="0"/>
          <w:color w:val="auto"/>
          <w:sz w:val="32"/>
          <w:szCs w:val="32"/>
          <w:shd w:val="clear" w:color="auto" w:fill="FFFFFF"/>
          <w:lang w:val="en-US" w:eastAsia="zh-CN"/>
        </w:rPr>
        <w:t>本单位2024年度无政府性基金预算财政拨款收支。</w:t>
      </w:r>
    </w:p>
    <w:p>
      <w:pPr>
        <w:pStyle w:val="9"/>
        <w:keepNext w:val="0"/>
        <w:keepLines w:val="0"/>
        <w:pageBreakBefore w:val="0"/>
        <w:widowControl/>
        <w:shd w:val="clear" w:color="auto" w:fill="FFFFFF"/>
        <w:kinsoku/>
        <w:wordWrap/>
        <w:overflowPunct/>
        <w:topLinePunct w:val="0"/>
        <w:autoSpaceDE/>
        <w:autoSpaceDN/>
        <w:bidi w:val="0"/>
        <w:adjustRightInd w:val="0"/>
        <w:snapToGrid w:val="0"/>
        <w:spacing w:before="0" w:beforeAutospacing="0" w:after="0" w:afterAutospacing="0" w:line="560" w:lineRule="exact"/>
        <w:ind w:firstLine="640" w:firstLineChars="200"/>
        <w:jc w:val="both"/>
        <w:textAlignment w:val="auto"/>
        <w:rPr>
          <w:rStyle w:val="11"/>
          <w:rFonts w:hint="default" w:ascii="Times New Roman" w:hAnsi="Times New Roman" w:eastAsia="方正楷体_GBK" w:cs="Times New Roman"/>
          <w:b w:val="0"/>
          <w:bCs w:val="0"/>
          <w:color w:val="auto"/>
          <w:sz w:val="32"/>
          <w:szCs w:val="32"/>
          <w:shd w:val="clear" w:color="auto" w:fill="FFFFFF"/>
        </w:rPr>
      </w:pPr>
      <w:r>
        <w:rPr>
          <w:rStyle w:val="11"/>
          <w:rFonts w:hint="default" w:ascii="Times New Roman" w:hAnsi="Times New Roman" w:eastAsia="方正楷体_GBK" w:cs="Times New Roman"/>
          <w:b w:val="0"/>
          <w:bCs w:val="0"/>
          <w:color w:val="auto"/>
          <w:sz w:val="32"/>
          <w:szCs w:val="32"/>
          <w:shd w:val="clear" w:color="auto" w:fill="FFFFFF"/>
        </w:rPr>
        <w:t>（六）国有资本经营预算财政拨款支出决算情况说明</w:t>
      </w:r>
    </w:p>
    <w:p>
      <w:pPr>
        <w:pStyle w:val="9"/>
        <w:snapToGrid w:val="0"/>
        <w:spacing w:before="0" w:beforeAutospacing="0" w:after="0" w:afterAutospacing="0" w:line="596" w:lineRule="exact"/>
        <w:ind w:firstLine="640" w:firstLineChars="200"/>
        <w:jc w:val="both"/>
        <w:rPr>
          <w:rFonts w:hint="default" w:ascii="方正仿宋_GBK" w:hAnsi="方正仿宋_GBK" w:eastAsia="方正仿宋_GBK" w:cs="方正仿宋_GBK"/>
          <w:sz w:val="32"/>
          <w:szCs w:val="32"/>
        </w:rPr>
      </w:pPr>
      <w:r>
        <w:rPr>
          <w:rFonts w:hint="default" w:ascii="Times New Roman" w:hAnsi="Times New Roman" w:eastAsia="方正仿宋_GBK" w:cs="Times New Roman"/>
          <w:b w:val="0"/>
          <w:bCs w:val="0"/>
          <w:color w:val="auto"/>
          <w:sz w:val="32"/>
          <w:szCs w:val="32"/>
          <w:shd w:val="clear" w:color="auto" w:fill="FFFFFF"/>
          <w:lang w:val="en-US" w:eastAsia="zh-CN"/>
        </w:rPr>
        <w:t>本单位2024年度无国有资产经营预算财政拨款支出。</w:t>
      </w:r>
    </w:p>
    <w:p>
      <w:pPr>
        <w:pStyle w:val="9"/>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Style w:val="11"/>
          <w:rFonts w:hint="eastAsia" w:ascii="方正黑体_GBK" w:hAnsi="方正黑体_GBK" w:eastAsia="方正黑体_GBK" w:cs="方正黑体_GBK"/>
          <w:b w:val="0"/>
          <w:bCs w:val="0"/>
          <w:sz w:val="32"/>
          <w:szCs w:val="32"/>
          <w:shd w:val="clear" w:color="auto" w:fill="FFFFFF"/>
        </w:rPr>
      </w:pPr>
      <w:r>
        <w:rPr>
          <w:rStyle w:val="11"/>
          <w:rFonts w:hint="eastAsia" w:ascii="方正黑体_GBK" w:hAnsi="方正黑体_GBK" w:eastAsia="方正黑体_GBK" w:cs="方正黑体_GBK"/>
          <w:b w:val="0"/>
          <w:bCs w:val="0"/>
          <w:sz w:val="32"/>
          <w:szCs w:val="32"/>
          <w:shd w:val="clear" w:color="auto" w:fill="FFFFFF"/>
        </w:rPr>
        <w:t>三、</w:t>
      </w:r>
      <w:r>
        <w:rPr>
          <w:rStyle w:val="11"/>
          <w:rFonts w:hint="eastAsia" w:ascii="方正黑体_GBK" w:hAnsi="方正黑体_GBK" w:eastAsia="方正黑体_GBK" w:cs="方正黑体_GBK"/>
          <w:b w:val="0"/>
          <w:bCs w:val="0"/>
          <w:sz w:val="32"/>
          <w:szCs w:val="32"/>
          <w:shd w:val="clear" w:color="auto" w:fill="FFFFFF"/>
          <w:lang w:eastAsia="zh-CN"/>
        </w:rPr>
        <w:t>财政拨款</w:t>
      </w:r>
      <w:r>
        <w:rPr>
          <w:rStyle w:val="11"/>
          <w:rFonts w:hint="eastAsia" w:ascii="方正黑体_GBK" w:hAnsi="方正黑体_GBK" w:eastAsia="方正黑体_GBK" w:cs="方正黑体_GBK"/>
          <w:b w:val="0"/>
          <w:bCs w:val="0"/>
          <w:sz w:val="32"/>
          <w:szCs w:val="32"/>
          <w:shd w:val="clear" w:color="auto" w:fill="FFFFFF"/>
        </w:rPr>
        <w:t>“三公”经费情况说明</w:t>
      </w:r>
    </w:p>
    <w:p>
      <w:pPr>
        <w:pStyle w:val="14"/>
        <w:keepNext w:val="0"/>
        <w:keepLines w:val="0"/>
        <w:pageBreakBefore w:val="0"/>
        <w:widowControl/>
        <w:kinsoku/>
        <w:wordWrap/>
        <w:overflowPunct/>
        <w:topLinePunct w:val="0"/>
        <w:autoSpaceDE w:val="0"/>
        <w:autoSpaceDN/>
        <w:bidi w:val="0"/>
        <w:adjustRightInd/>
        <w:snapToGrid/>
        <w:spacing w:line="560" w:lineRule="exact"/>
        <w:ind w:firstLine="640" w:firstLineChars="200"/>
        <w:jc w:val="both"/>
        <w:textAlignment w:val="auto"/>
        <w:rPr>
          <w:rFonts w:hint="eastAsia" w:ascii="方正楷体_GBK" w:hAnsi="方正楷体_GBK" w:eastAsia="方正楷体_GBK" w:cs="方正楷体_GBK"/>
          <w:b w:val="0"/>
          <w:bCs w:val="0"/>
          <w:color w:val="auto"/>
          <w:sz w:val="32"/>
          <w:szCs w:val="32"/>
          <w:shd w:val="clear" w:color="auto" w:fill="FFFFFF"/>
        </w:rPr>
      </w:pPr>
      <w:r>
        <w:rPr>
          <w:rFonts w:hint="eastAsia" w:ascii="方正楷体_GBK" w:hAnsi="方正楷体_GBK" w:eastAsia="方正楷体_GBK" w:cs="方正楷体_GBK"/>
          <w:b w:val="0"/>
          <w:bCs w:val="0"/>
          <w:color w:val="auto"/>
          <w:sz w:val="32"/>
          <w:szCs w:val="32"/>
          <w:shd w:val="clear" w:color="auto" w:fill="FFFFFF"/>
        </w:rPr>
        <w:t>（一）“三公”经费支出总体情况说明</w:t>
      </w:r>
    </w:p>
    <w:p>
      <w:pPr>
        <w:pStyle w:val="9"/>
        <w:keepNext w:val="0"/>
        <w:keepLines w:val="0"/>
        <w:pageBreakBefore w:val="0"/>
        <w:widowControl w:val="0"/>
        <w:kinsoku/>
        <w:wordWrap/>
        <w:overflowPunct/>
        <w:topLinePunct w:val="0"/>
        <w:autoSpaceDE w:val="0"/>
        <w:autoSpaceDN/>
        <w:bidi w:val="0"/>
        <w:adjustRightInd/>
        <w:snapToGrid w:val="0"/>
        <w:spacing w:before="0" w:beforeAutospacing="0" w:after="0" w:afterAutospacing="0" w:line="560" w:lineRule="exact"/>
        <w:ind w:firstLine="640" w:firstLineChars="200"/>
        <w:jc w:val="both"/>
        <w:textAlignment w:val="auto"/>
        <w:rPr>
          <w:rFonts w:hint="default" w:ascii="Times New Roman" w:hAnsi="Times New Roman" w:eastAsia="方正仿宋_GBK" w:cs="方正仿宋_GBK"/>
          <w:b w:val="0"/>
          <w:bCs w:val="0"/>
          <w:color w:val="auto"/>
          <w:sz w:val="32"/>
          <w:szCs w:val="32"/>
          <w:shd w:val="clear" w:color="auto" w:fill="FFFFFF"/>
        </w:rPr>
      </w:pPr>
      <w:r>
        <w:rPr>
          <w:rFonts w:hint="eastAsia" w:ascii="Times New Roman" w:hAnsi="Times New Roman" w:eastAsia="方正仿宋_GBK" w:cs="方正仿宋_GBK"/>
          <w:b w:val="0"/>
          <w:bCs w:val="0"/>
          <w:color w:val="auto"/>
          <w:sz w:val="32"/>
          <w:szCs w:val="32"/>
          <w:shd w:val="clear" w:color="auto" w:fill="FFFFFF"/>
          <w:lang w:eastAsia="zh-CN"/>
        </w:rPr>
        <w:t>本</w:t>
      </w:r>
      <w:r>
        <w:rPr>
          <w:rFonts w:ascii="Times New Roman" w:hAnsi="Times New Roman" w:eastAsia="方正仿宋_GBK" w:cs="方正仿宋_GBK"/>
          <w:b w:val="0"/>
          <w:bCs w:val="0"/>
          <w:color w:val="auto"/>
          <w:sz w:val="32"/>
          <w:szCs w:val="32"/>
          <w:shd w:val="clear" w:color="auto" w:fill="FFFFFF"/>
        </w:rPr>
        <w:t>单位属于差额拨款单位，</w:t>
      </w:r>
      <w:r>
        <w:rPr>
          <w:rFonts w:hint="eastAsia" w:ascii="Times New Roman" w:hAnsi="Times New Roman" w:eastAsia="方正仿宋_GBK" w:cs="方正仿宋_GBK"/>
          <w:b w:val="0"/>
          <w:bCs w:val="0"/>
          <w:color w:val="auto"/>
          <w:sz w:val="32"/>
          <w:szCs w:val="32"/>
          <w:shd w:val="clear" w:color="auto" w:fill="FFFFFF"/>
          <w:lang w:eastAsia="zh-CN"/>
        </w:rPr>
        <w:t>未使用财政资金保障</w:t>
      </w:r>
      <w:r>
        <w:rPr>
          <w:rFonts w:ascii="Times New Roman" w:hAnsi="Times New Roman" w:eastAsia="方正仿宋_GBK" w:cs="方正仿宋_GBK"/>
          <w:b w:val="0"/>
          <w:bCs w:val="0"/>
          <w:color w:val="auto"/>
          <w:sz w:val="32"/>
          <w:szCs w:val="32"/>
          <w:shd w:val="clear" w:color="auto" w:fill="FFFFFF"/>
        </w:rPr>
        <w:t>“三公”经费。</w:t>
      </w:r>
    </w:p>
    <w:p>
      <w:pPr>
        <w:pStyle w:val="14"/>
        <w:keepNext w:val="0"/>
        <w:keepLines w:val="0"/>
        <w:pageBreakBefore w:val="0"/>
        <w:widowControl/>
        <w:kinsoku/>
        <w:wordWrap/>
        <w:overflowPunct/>
        <w:topLinePunct w:val="0"/>
        <w:autoSpaceDE w:val="0"/>
        <w:autoSpaceDN/>
        <w:bidi w:val="0"/>
        <w:adjustRightInd/>
        <w:snapToGrid/>
        <w:spacing w:line="560" w:lineRule="exact"/>
        <w:ind w:firstLine="640" w:firstLineChars="200"/>
        <w:jc w:val="both"/>
        <w:textAlignment w:val="auto"/>
        <w:rPr>
          <w:rFonts w:hint="eastAsia" w:ascii="方正楷体_GBK" w:hAnsi="方正楷体_GBK" w:eastAsia="方正楷体_GBK" w:cs="方正楷体_GBK"/>
          <w:b w:val="0"/>
          <w:bCs w:val="0"/>
          <w:color w:val="auto"/>
          <w:sz w:val="32"/>
          <w:szCs w:val="32"/>
          <w:shd w:val="clear" w:color="auto" w:fill="FFFFFF"/>
        </w:rPr>
      </w:pPr>
      <w:r>
        <w:rPr>
          <w:rFonts w:hint="eastAsia" w:ascii="方正楷体_GBK" w:hAnsi="方正楷体_GBK" w:eastAsia="方正楷体_GBK" w:cs="方正楷体_GBK"/>
          <w:b w:val="0"/>
          <w:bCs w:val="0"/>
          <w:color w:val="auto"/>
          <w:sz w:val="32"/>
          <w:szCs w:val="32"/>
          <w:shd w:val="clear" w:color="auto" w:fill="FFFFFF"/>
        </w:rPr>
        <w:t>（二）“三公”经费分项支出情况</w:t>
      </w:r>
    </w:p>
    <w:p>
      <w:pPr>
        <w:pStyle w:val="9"/>
        <w:keepNext w:val="0"/>
        <w:keepLines w:val="0"/>
        <w:pageBreakBefore w:val="0"/>
        <w:kinsoku/>
        <w:wordWrap/>
        <w:overflowPunct/>
        <w:topLinePunct w:val="0"/>
        <w:autoSpaceDN/>
        <w:bidi w:val="0"/>
        <w:adjustRightInd/>
        <w:snapToGrid w:val="0"/>
        <w:spacing w:before="0" w:beforeAutospacing="0" w:after="0" w:afterAutospacing="0" w:line="560" w:lineRule="exact"/>
        <w:ind w:firstLine="640" w:firstLineChars="200"/>
        <w:jc w:val="both"/>
        <w:textAlignment w:val="auto"/>
        <w:rPr>
          <w:rFonts w:hint="eastAsia" w:ascii="Times New Roman" w:hAnsi="Times New Roman" w:eastAsia="方正仿宋_GBK" w:cs="方正仿宋_GBK"/>
          <w:b w:val="0"/>
          <w:bCs w:val="0"/>
          <w:color w:val="auto"/>
          <w:sz w:val="32"/>
          <w:szCs w:val="32"/>
          <w:shd w:val="clear" w:color="auto" w:fill="FFFFFF"/>
          <w:lang w:eastAsia="zh-CN"/>
        </w:rPr>
      </w:pPr>
      <w:r>
        <w:rPr>
          <w:rFonts w:hint="default" w:ascii="Times New Roman" w:hAnsi="Times New Roman" w:eastAsia="方正仿宋_GBK"/>
          <w:b w:val="0"/>
          <w:bCs w:val="0"/>
          <w:color w:val="auto"/>
          <w:sz w:val="32"/>
          <w:szCs w:val="32"/>
          <w:shd w:val="clear" w:color="auto" w:fill="FFFFFF"/>
        </w:rPr>
        <w:t>2024</w:t>
      </w:r>
      <w:r>
        <w:rPr>
          <w:rFonts w:ascii="Times New Roman" w:hAnsi="Times New Roman" w:eastAsia="方正仿宋_GBK" w:cs="方正仿宋_GBK"/>
          <w:b w:val="0"/>
          <w:bCs w:val="0"/>
          <w:color w:val="auto"/>
          <w:sz w:val="32"/>
          <w:szCs w:val="32"/>
          <w:shd w:val="clear" w:color="auto" w:fill="FFFFFF"/>
        </w:rPr>
        <w:t>年度本</w:t>
      </w:r>
      <w:r>
        <w:rPr>
          <w:rFonts w:hint="eastAsia" w:ascii="Times New Roman" w:hAnsi="Times New Roman" w:eastAsia="方正仿宋_GBK" w:cs="方正仿宋_GBK"/>
          <w:b w:val="0"/>
          <w:bCs w:val="0"/>
          <w:color w:val="auto"/>
          <w:sz w:val="32"/>
          <w:szCs w:val="32"/>
          <w:shd w:val="clear" w:color="auto" w:fill="FFFFFF"/>
          <w:lang w:eastAsia="zh-CN"/>
        </w:rPr>
        <w:t>单位无</w:t>
      </w:r>
      <w:r>
        <w:rPr>
          <w:rFonts w:ascii="Times New Roman" w:hAnsi="Times New Roman" w:eastAsia="方正仿宋_GBK" w:cs="方正仿宋_GBK"/>
          <w:b w:val="0"/>
          <w:bCs w:val="0"/>
          <w:color w:val="auto"/>
          <w:sz w:val="32"/>
          <w:szCs w:val="32"/>
          <w:shd w:val="clear" w:color="auto" w:fill="FFFFFF"/>
        </w:rPr>
        <w:t>因公出国（境）费用，费用支出</w:t>
      </w:r>
      <w:r>
        <w:rPr>
          <w:rFonts w:hint="default" w:ascii="Times New Roman" w:hAnsi="Times New Roman" w:eastAsia="方正仿宋_GBK"/>
          <w:b w:val="0"/>
          <w:bCs w:val="0"/>
          <w:color w:val="auto"/>
          <w:sz w:val="32"/>
          <w:szCs w:val="32"/>
          <w:shd w:val="clear" w:color="auto" w:fill="FFFFFF"/>
        </w:rPr>
        <w:t>较年初预算数无增减</w:t>
      </w:r>
      <w:r>
        <w:rPr>
          <w:rFonts w:ascii="Times New Roman" w:hAnsi="Times New Roman" w:eastAsia="方正仿宋_GBK" w:cs="方正仿宋_GBK"/>
          <w:b w:val="0"/>
          <w:bCs w:val="0"/>
          <w:color w:val="auto"/>
          <w:sz w:val="32"/>
          <w:szCs w:val="32"/>
          <w:shd w:val="clear" w:color="auto" w:fill="FFFFFF"/>
        </w:rPr>
        <w:t>，</w:t>
      </w:r>
      <w:r>
        <w:rPr>
          <w:rFonts w:hint="default" w:ascii="Times New Roman" w:hAnsi="Times New Roman" w:eastAsia="方正仿宋_GBK"/>
          <w:b w:val="0"/>
          <w:bCs w:val="0"/>
          <w:color w:val="auto"/>
          <w:sz w:val="32"/>
          <w:szCs w:val="32"/>
          <w:shd w:val="clear" w:color="auto" w:fill="FFFFFF"/>
        </w:rPr>
        <w:t>较上年支出数无增减</w:t>
      </w:r>
      <w:r>
        <w:rPr>
          <w:rFonts w:hint="eastAsia" w:ascii="Times New Roman" w:hAnsi="Times New Roman" w:eastAsia="方正仿宋_GBK"/>
          <w:b w:val="0"/>
          <w:bCs w:val="0"/>
          <w:color w:val="auto"/>
          <w:sz w:val="32"/>
          <w:szCs w:val="32"/>
          <w:shd w:val="clear" w:color="auto" w:fill="FFFFFF"/>
          <w:lang w:eastAsia="zh-CN"/>
        </w:rPr>
        <w:t>。</w:t>
      </w:r>
    </w:p>
    <w:p>
      <w:pPr>
        <w:pStyle w:val="9"/>
        <w:keepNext w:val="0"/>
        <w:keepLines w:val="0"/>
        <w:pageBreakBefore w:val="0"/>
        <w:kinsoku/>
        <w:wordWrap/>
        <w:overflowPunct/>
        <w:topLinePunct w:val="0"/>
        <w:autoSpaceDN/>
        <w:bidi w:val="0"/>
        <w:adjustRightInd/>
        <w:snapToGrid w:val="0"/>
        <w:spacing w:before="0" w:beforeAutospacing="0" w:after="0" w:afterAutospacing="0" w:line="560" w:lineRule="exact"/>
        <w:ind w:firstLine="640" w:firstLineChars="200"/>
        <w:jc w:val="both"/>
        <w:textAlignment w:val="auto"/>
        <w:rPr>
          <w:rFonts w:hint="eastAsia" w:ascii="Times New Roman" w:hAnsi="Times New Roman" w:eastAsia="方正仿宋_GBK"/>
          <w:b w:val="0"/>
          <w:bCs w:val="0"/>
          <w:color w:val="auto"/>
          <w:sz w:val="32"/>
          <w:szCs w:val="32"/>
          <w:shd w:val="clear" w:color="auto" w:fill="FFFFFF"/>
          <w:lang w:eastAsia="zh-CN"/>
        </w:rPr>
      </w:pPr>
      <w:r>
        <w:rPr>
          <w:rFonts w:hint="default" w:ascii="Times New Roman" w:hAnsi="Times New Roman" w:eastAsia="方正仿宋_GBK"/>
          <w:b w:val="0"/>
          <w:bCs w:val="0"/>
          <w:color w:val="auto"/>
          <w:sz w:val="32"/>
          <w:szCs w:val="32"/>
          <w:shd w:val="clear" w:color="auto" w:fill="FFFFFF"/>
        </w:rPr>
        <w:t>2024</w:t>
      </w:r>
      <w:r>
        <w:rPr>
          <w:rFonts w:ascii="Times New Roman" w:hAnsi="Times New Roman" w:eastAsia="方正仿宋_GBK" w:cs="方正仿宋_GBK"/>
          <w:b w:val="0"/>
          <w:bCs w:val="0"/>
          <w:color w:val="auto"/>
          <w:sz w:val="32"/>
          <w:szCs w:val="32"/>
          <w:shd w:val="clear" w:color="auto" w:fill="FFFFFF"/>
        </w:rPr>
        <w:t>年度本</w:t>
      </w:r>
      <w:r>
        <w:rPr>
          <w:rFonts w:hint="eastAsia" w:ascii="Times New Roman" w:hAnsi="Times New Roman" w:eastAsia="方正仿宋_GBK" w:cs="方正仿宋_GBK"/>
          <w:b w:val="0"/>
          <w:bCs w:val="0"/>
          <w:color w:val="auto"/>
          <w:sz w:val="32"/>
          <w:szCs w:val="32"/>
          <w:shd w:val="clear" w:color="auto" w:fill="FFFFFF"/>
          <w:lang w:eastAsia="zh-CN"/>
        </w:rPr>
        <w:t>单位无</w:t>
      </w:r>
      <w:r>
        <w:rPr>
          <w:rFonts w:ascii="Times New Roman" w:hAnsi="Times New Roman" w:eastAsia="方正仿宋_GBK" w:cs="方正仿宋_GBK"/>
          <w:b w:val="0"/>
          <w:bCs w:val="0"/>
          <w:color w:val="auto"/>
          <w:sz w:val="32"/>
          <w:szCs w:val="32"/>
          <w:shd w:val="clear" w:color="auto" w:fill="FFFFFF"/>
        </w:rPr>
        <w:t>公务</w:t>
      </w:r>
      <w:r>
        <w:rPr>
          <w:rFonts w:hint="eastAsia" w:ascii="Times New Roman" w:hAnsi="Times New Roman" w:eastAsia="方正仿宋_GBK" w:cs="方正仿宋_GBK"/>
          <w:b w:val="0"/>
          <w:bCs w:val="0"/>
          <w:color w:val="auto"/>
          <w:sz w:val="32"/>
          <w:szCs w:val="32"/>
          <w:shd w:val="clear" w:color="auto" w:fill="FFFFFF"/>
          <w:lang w:eastAsia="zh-CN"/>
        </w:rPr>
        <w:t>用</w:t>
      </w:r>
      <w:r>
        <w:rPr>
          <w:rFonts w:ascii="Times New Roman" w:hAnsi="Times New Roman" w:eastAsia="方正仿宋_GBK" w:cs="方正仿宋_GBK"/>
          <w:b w:val="0"/>
          <w:bCs w:val="0"/>
          <w:color w:val="auto"/>
          <w:sz w:val="32"/>
          <w:szCs w:val="32"/>
          <w:shd w:val="clear" w:color="auto" w:fill="FFFFFF"/>
        </w:rPr>
        <w:t>车购置费，费用支出</w:t>
      </w:r>
      <w:r>
        <w:rPr>
          <w:rFonts w:hint="default" w:ascii="Times New Roman" w:hAnsi="Times New Roman" w:eastAsia="方正仿宋_GBK"/>
          <w:b w:val="0"/>
          <w:bCs w:val="0"/>
          <w:color w:val="auto"/>
          <w:sz w:val="32"/>
          <w:szCs w:val="32"/>
          <w:shd w:val="clear" w:color="auto" w:fill="FFFFFF"/>
        </w:rPr>
        <w:t>较年初预算数无增减</w:t>
      </w:r>
      <w:r>
        <w:rPr>
          <w:rFonts w:ascii="Times New Roman" w:hAnsi="Times New Roman" w:eastAsia="方正仿宋_GBK" w:cs="方正仿宋_GBK"/>
          <w:b w:val="0"/>
          <w:bCs w:val="0"/>
          <w:color w:val="auto"/>
          <w:sz w:val="32"/>
          <w:szCs w:val="32"/>
          <w:shd w:val="clear" w:color="auto" w:fill="FFFFFF"/>
        </w:rPr>
        <w:t>，</w:t>
      </w:r>
      <w:r>
        <w:rPr>
          <w:rFonts w:hint="default" w:ascii="Times New Roman" w:hAnsi="Times New Roman" w:eastAsia="方正仿宋_GBK"/>
          <w:b w:val="0"/>
          <w:bCs w:val="0"/>
          <w:color w:val="auto"/>
          <w:sz w:val="32"/>
          <w:szCs w:val="32"/>
          <w:shd w:val="clear" w:color="auto" w:fill="FFFFFF"/>
        </w:rPr>
        <w:t>较上年支出数无增减</w:t>
      </w:r>
      <w:r>
        <w:rPr>
          <w:rFonts w:hint="eastAsia" w:ascii="Times New Roman" w:hAnsi="Times New Roman" w:eastAsia="方正仿宋_GBK"/>
          <w:b w:val="0"/>
          <w:bCs w:val="0"/>
          <w:color w:val="auto"/>
          <w:sz w:val="32"/>
          <w:szCs w:val="32"/>
          <w:shd w:val="clear" w:color="auto" w:fill="FFFFFF"/>
          <w:lang w:eastAsia="zh-CN"/>
        </w:rPr>
        <w:t>。</w:t>
      </w:r>
    </w:p>
    <w:p>
      <w:pPr>
        <w:pStyle w:val="9"/>
        <w:keepNext w:val="0"/>
        <w:keepLines w:val="0"/>
        <w:pageBreakBefore w:val="0"/>
        <w:kinsoku/>
        <w:wordWrap/>
        <w:overflowPunct/>
        <w:topLinePunct w:val="0"/>
        <w:autoSpaceDN/>
        <w:bidi w:val="0"/>
        <w:adjustRightInd/>
        <w:snapToGrid w:val="0"/>
        <w:spacing w:before="0" w:beforeAutospacing="0" w:after="0" w:afterAutospacing="0" w:line="560" w:lineRule="exact"/>
        <w:ind w:firstLine="640" w:firstLineChars="200"/>
        <w:jc w:val="both"/>
        <w:textAlignment w:val="auto"/>
        <w:rPr>
          <w:rFonts w:hint="eastAsia" w:ascii="Times New Roman" w:hAnsi="Times New Roman" w:eastAsia="方正仿宋_GBK"/>
          <w:b w:val="0"/>
          <w:bCs w:val="0"/>
          <w:color w:val="auto"/>
          <w:sz w:val="32"/>
          <w:szCs w:val="32"/>
          <w:shd w:val="clear" w:color="auto" w:fill="FFFFFF"/>
          <w:lang w:eastAsia="zh-CN"/>
        </w:rPr>
      </w:pPr>
      <w:r>
        <w:rPr>
          <w:rFonts w:hint="default" w:ascii="Times New Roman" w:hAnsi="Times New Roman" w:eastAsia="方正仿宋_GBK"/>
          <w:b w:val="0"/>
          <w:bCs w:val="0"/>
          <w:color w:val="auto"/>
          <w:sz w:val="32"/>
          <w:szCs w:val="32"/>
          <w:shd w:val="clear" w:color="auto" w:fill="FFFFFF"/>
        </w:rPr>
        <w:t>2024</w:t>
      </w:r>
      <w:r>
        <w:rPr>
          <w:rFonts w:ascii="Times New Roman" w:hAnsi="Times New Roman" w:eastAsia="方正仿宋_GBK" w:cs="方正仿宋_GBK"/>
          <w:b w:val="0"/>
          <w:bCs w:val="0"/>
          <w:color w:val="auto"/>
          <w:sz w:val="32"/>
          <w:szCs w:val="32"/>
          <w:shd w:val="clear" w:color="auto" w:fill="FFFFFF"/>
        </w:rPr>
        <w:t>年度本</w:t>
      </w:r>
      <w:r>
        <w:rPr>
          <w:rFonts w:hint="eastAsia" w:ascii="Times New Roman" w:hAnsi="Times New Roman" w:eastAsia="方正仿宋_GBK" w:cs="方正仿宋_GBK"/>
          <w:b w:val="0"/>
          <w:bCs w:val="0"/>
          <w:color w:val="auto"/>
          <w:sz w:val="32"/>
          <w:szCs w:val="32"/>
          <w:shd w:val="clear" w:color="auto" w:fill="FFFFFF"/>
          <w:lang w:eastAsia="zh-CN"/>
        </w:rPr>
        <w:t>单位无</w:t>
      </w:r>
      <w:r>
        <w:rPr>
          <w:rFonts w:ascii="Times New Roman" w:hAnsi="Times New Roman" w:eastAsia="方正仿宋_GBK" w:cs="方正仿宋_GBK"/>
          <w:b w:val="0"/>
          <w:bCs w:val="0"/>
          <w:color w:val="auto"/>
          <w:sz w:val="32"/>
          <w:szCs w:val="32"/>
          <w:shd w:val="clear" w:color="auto" w:fill="FFFFFF"/>
        </w:rPr>
        <w:t>公务</w:t>
      </w:r>
      <w:r>
        <w:rPr>
          <w:rFonts w:hint="eastAsia" w:ascii="Times New Roman" w:hAnsi="Times New Roman" w:eastAsia="方正仿宋_GBK" w:cs="方正仿宋_GBK"/>
          <w:b w:val="0"/>
          <w:bCs w:val="0"/>
          <w:color w:val="auto"/>
          <w:sz w:val="32"/>
          <w:szCs w:val="32"/>
          <w:shd w:val="clear" w:color="auto" w:fill="FFFFFF"/>
          <w:lang w:eastAsia="zh-CN"/>
        </w:rPr>
        <w:t>用</w:t>
      </w:r>
      <w:r>
        <w:rPr>
          <w:rFonts w:ascii="Times New Roman" w:hAnsi="Times New Roman" w:eastAsia="方正仿宋_GBK" w:cs="方正仿宋_GBK"/>
          <w:b w:val="0"/>
          <w:bCs w:val="0"/>
          <w:color w:val="auto"/>
          <w:sz w:val="32"/>
          <w:szCs w:val="32"/>
          <w:shd w:val="clear" w:color="auto" w:fill="FFFFFF"/>
        </w:rPr>
        <w:t>车运行维护费，费用支出</w:t>
      </w:r>
      <w:r>
        <w:rPr>
          <w:rFonts w:hint="default" w:ascii="Times New Roman" w:hAnsi="Times New Roman" w:eastAsia="方正仿宋_GBK"/>
          <w:b w:val="0"/>
          <w:bCs w:val="0"/>
          <w:color w:val="auto"/>
          <w:sz w:val="32"/>
          <w:szCs w:val="32"/>
          <w:shd w:val="clear" w:color="auto" w:fill="FFFFFF"/>
        </w:rPr>
        <w:t>较年初预算数无增减</w:t>
      </w:r>
      <w:r>
        <w:rPr>
          <w:rFonts w:ascii="Times New Roman" w:hAnsi="Times New Roman" w:eastAsia="方正仿宋_GBK" w:cs="方正仿宋_GBK"/>
          <w:b w:val="0"/>
          <w:bCs w:val="0"/>
          <w:color w:val="auto"/>
          <w:sz w:val="32"/>
          <w:szCs w:val="32"/>
          <w:shd w:val="clear" w:color="auto" w:fill="FFFFFF"/>
        </w:rPr>
        <w:t>，</w:t>
      </w:r>
      <w:r>
        <w:rPr>
          <w:rFonts w:hint="default" w:ascii="Times New Roman" w:hAnsi="Times New Roman" w:eastAsia="方正仿宋_GBK"/>
          <w:b w:val="0"/>
          <w:bCs w:val="0"/>
          <w:color w:val="auto"/>
          <w:sz w:val="32"/>
          <w:szCs w:val="32"/>
          <w:shd w:val="clear" w:color="auto" w:fill="FFFFFF"/>
        </w:rPr>
        <w:t>较上年支出数无增减</w:t>
      </w:r>
      <w:r>
        <w:rPr>
          <w:rFonts w:hint="eastAsia" w:ascii="Times New Roman" w:hAnsi="Times New Roman" w:eastAsia="方正仿宋_GBK"/>
          <w:b w:val="0"/>
          <w:bCs w:val="0"/>
          <w:color w:val="auto"/>
          <w:sz w:val="32"/>
          <w:szCs w:val="32"/>
          <w:shd w:val="clear" w:color="auto" w:fill="FFFFFF"/>
          <w:lang w:eastAsia="zh-CN"/>
        </w:rPr>
        <w:t>。</w:t>
      </w:r>
    </w:p>
    <w:p>
      <w:pPr>
        <w:pStyle w:val="9"/>
        <w:keepNext w:val="0"/>
        <w:keepLines w:val="0"/>
        <w:pageBreakBefore w:val="0"/>
        <w:kinsoku/>
        <w:wordWrap/>
        <w:overflowPunct/>
        <w:topLinePunct w:val="0"/>
        <w:autoSpaceDN/>
        <w:bidi w:val="0"/>
        <w:adjustRightInd/>
        <w:snapToGrid w:val="0"/>
        <w:spacing w:before="0" w:beforeAutospacing="0" w:after="0" w:afterAutospacing="0" w:line="560" w:lineRule="exact"/>
        <w:ind w:firstLine="640" w:firstLineChars="200"/>
        <w:jc w:val="both"/>
        <w:textAlignment w:val="auto"/>
        <w:rPr>
          <w:rFonts w:hint="eastAsia" w:ascii="Times New Roman" w:hAnsi="Times New Roman" w:eastAsia="方正仿宋_GBK" w:cs="方正仿宋_GBK"/>
          <w:b w:val="0"/>
          <w:bCs w:val="0"/>
          <w:color w:val="auto"/>
          <w:sz w:val="32"/>
          <w:szCs w:val="32"/>
          <w:lang w:eastAsia="zh-CN"/>
        </w:rPr>
      </w:pPr>
      <w:r>
        <w:rPr>
          <w:rFonts w:hint="default" w:ascii="Times New Roman" w:hAnsi="Times New Roman" w:eastAsia="方正仿宋_GBK"/>
          <w:b w:val="0"/>
          <w:bCs w:val="0"/>
          <w:color w:val="auto"/>
          <w:sz w:val="32"/>
          <w:szCs w:val="32"/>
          <w:shd w:val="clear" w:color="auto" w:fill="FFFFFF"/>
        </w:rPr>
        <w:t>2024</w:t>
      </w:r>
      <w:r>
        <w:rPr>
          <w:rFonts w:ascii="Times New Roman" w:hAnsi="Times New Roman" w:eastAsia="方正仿宋_GBK" w:cs="方正仿宋_GBK"/>
          <w:b w:val="0"/>
          <w:bCs w:val="0"/>
          <w:color w:val="auto"/>
          <w:sz w:val="32"/>
          <w:szCs w:val="32"/>
          <w:shd w:val="clear" w:color="auto" w:fill="FFFFFF"/>
        </w:rPr>
        <w:t>年度本</w:t>
      </w:r>
      <w:r>
        <w:rPr>
          <w:rFonts w:hint="eastAsia" w:ascii="Times New Roman" w:hAnsi="Times New Roman" w:eastAsia="方正仿宋_GBK" w:cs="方正仿宋_GBK"/>
          <w:b w:val="0"/>
          <w:bCs w:val="0"/>
          <w:color w:val="auto"/>
          <w:sz w:val="32"/>
          <w:szCs w:val="32"/>
          <w:shd w:val="clear" w:color="auto" w:fill="FFFFFF"/>
          <w:lang w:eastAsia="zh-CN"/>
        </w:rPr>
        <w:t>单位无</w:t>
      </w:r>
      <w:r>
        <w:rPr>
          <w:rFonts w:ascii="Times New Roman" w:hAnsi="Times New Roman" w:eastAsia="方正仿宋_GBK" w:cs="方正仿宋_GBK"/>
          <w:b w:val="0"/>
          <w:bCs w:val="0"/>
          <w:color w:val="auto"/>
          <w:sz w:val="32"/>
          <w:szCs w:val="32"/>
          <w:shd w:val="clear" w:color="auto" w:fill="FFFFFF"/>
        </w:rPr>
        <w:t>公务接待费，费用支出</w:t>
      </w:r>
      <w:r>
        <w:rPr>
          <w:rFonts w:hint="default" w:ascii="Times New Roman" w:hAnsi="Times New Roman" w:eastAsia="方正仿宋_GBK"/>
          <w:b w:val="0"/>
          <w:bCs w:val="0"/>
          <w:color w:val="auto"/>
          <w:sz w:val="32"/>
          <w:szCs w:val="32"/>
          <w:shd w:val="clear" w:color="auto" w:fill="FFFFFF"/>
        </w:rPr>
        <w:t>较年初预算数无增减</w:t>
      </w:r>
      <w:r>
        <w:rPr>
          <w:rFonts w:ascii="Times New Roman" w:hAnsi="Times New Roman" w:eastAsia="方正仿宋_GBK" w:cs="方正仿宋_GBK"/>
          <w:b w:val="0"/>
          <w:bCs w:val="0"/>
          <w:color w:val="auto"/>
          <w:sz w:val="32"/>
          <w:szCs w:val="32"/>
          <w:shd w:val="clear" w:color="auto" w:fill="FFFFFF"/>
        </w:rPr>
        <w:t>，</w:t>
      </w:r>
      <w:r>
        <w:rPr>
          <w:rFonts w:hint="default" w:ascii="Times New Roman" w:hAnsi="Times New Roman" w:eastAsia="方正仿宋_GBK"/>
          <w:b w:val="0"/>
          <w:bCs w:val="0"/>
          <w:color w:val="auto"/>
          <w:sz w:val="32"/>
          <w:szCs w:val="32"/>
          <w:shd w:val="clear" w:color="auto" w:fill="FFFFFF"/>
        </w:rPr>
        <w:t>较上年支出数无增减</w:t>
      </w:r>
      <w:r>
        <w:rPr>
          <w:rFonts w:hint="eastAsia" w:ascii="Times New Roman" w:hAnsi="Times New Roman" w:eastAsia="方正仿宋_GBK"/>
          <w:b w:val="0"/>
          <w:bCs w:val="0"/>
          <w:color w:val="auto"/>
          <w:sz w:val="32"/>
          <w:szCs w:val="32"/>
          <w:shd w:val="clear" w:color="auto" w:fill="FFFFFF"/>
          <w:lang w:eastAsia="zh-CN"/>
        </w:rPr>
        <w:t>。</w:t>
      </w:r>
    </w:p>
    <w:p>
      <w:pPr>
        <w:pStyle w:val="9"/>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outlineLvl w:val="9"/>
        <w:rPr>
          <w:rFonts w:hint="eastAsia" w:ascii="Times New Roman" w:hAnsi="Times New Roman" w:eastAsia="方正楷体_GBK" w:cs="方正楷体_GBK"/>
          <w:b w:val="0"/>
          <w:bCs w:val="0"/>
          <w:i w:val="0"/>
          <w:iCs w:val="0"/>
          <w:caps w:val="0"/>
          <w:color w:val="auto"/>
          <w:spacing w:val="0"/>
          <w:sz w:val="32"/>
          <w:szCs w:val="32"/>
          <w:shd w:val="clear" w:fill="FFFFFF"/>
        </w:rPr>
      </w:pPr>
      <w:r>
        <w:rPr>
          <w:rFonts w:hint="eastAsia" w:ascii="Times New Roman" w:hAnsi="Times New Roman" w:eastAsia="方正楷体_GBK" w:cs="方正楷体_GBK"/>
          <w:b w:val="0"/>
          <w:bCs w:val="0"/>
          <w:i w:val="0"/>
          <w:iCs w:val="0"/>
          <w:caps w:val="0"/>
          <w:color w:val="auto"/>
          <w:spacing w:val="0"/>
          <w:sz w:val="32"/>
          <w:szCs w:val="32"/>
          <w:shd w:val="clear" w:fill="FFFFFF"/>
        </w:rPr>
        <w:t>（三）“三公”经费实物量情况</w:t>
      </w:r>
    </w:p>
    <w:p>
      <w:pPr>
        <w:pStyle w:val="9"/>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ascii="Times New Roman" w:hAnsi="Times New Roman" w:eastAsia="方正仿宋_GBK" w:cs="方正仿宋_GBK"/>
          <w:b w:val="0"/>
          <w:bCs w:val="0"/>
          <w:color w:val="auto"/>
          <w:sz w:val="32"/>
          <w:szCs w:val="32"/>
          <w:shd w:val="clear" w:color="auto" w:fill="FFFFFF"/>
        </w:rPr>
      </w:pPr>
      <w:r>
        <w:rPr>
          <w:rFonts w:hint="default" w:ascii="Times New Roman" w:hAnsi="Times New Roman" w:eastAsia="方正仿宋_GBK"/>
          <w:b w:val="0"/>
          <w:bCs w:val="0"/>
          <w:color w:val="auto"/>
          <w:sz w:val="32"/>
          <w:szCs w:val="32"/>
          <w:shd w:val="clear" w:color="auto" w:fill="FFFFFF"/>
        </w:rPr>
        <w:t>2024</w:t>
      </w:r>
      <w:r>
        <w:rPr>
          <w:rFonts w:ascii="Times New Roman" w:hAnsi="Times New Roman" w:eastAsia="方正仿宋_GBK" w:cs="方正仿宋_GBK"/>
          <w:b w:val="0"/>
          <w:bCs w:val="0"/>
          <w:color w:val="auto"/>
          <w:sz w:val="32"/>
          <w:szCs w:val="32"/>
          <w:shd w:val="clear" w:color="auto" w:fill="FFFFFF"/>
        </w:rPr>
        <w:t>年度本</w:t>
      </w:r>
      <w:r>
        <w:rPr>
          <w:rFonts w:hint="eastAsia" w:ascii="Times New Roman" w:hAnsi="Times New Roman" w:eastAsia="方正仿宋_GBK" w:cs="方正仿宋_GBK"/>
          <w:b w:val="0"/>
          <w:bCs w:val="0"/>
          <w:color w:val="auto"/>
          <w:sz w:val="32"/>
          <w:szCs w:val="32"/>
          <w:shd w:val="clear" w:color="auto" w:fill="FFFFFF"/>
          <w:lang w:eastAsia="zh-CN"/>
        </w:rPr>
        <w:t>单位</w:t>
      </w:r>
      <w:r>
        <w:rPr>
          <w:rFonts w:ascii="Times New Roman" w:hAnsi="Times New Roman" w:eastAsia="方正仿宋_GBK" w:cs="方正仿宋_GBK"/>
          <w:b w:val="0"/>
          <w:bCs w:val="0"/>
          <w:color w:val="auto"/>
          <w:sz w:val="32"/>
          <w:szCs w:val="32"/>
          <w:shd w:val="clear" w:color="auto" w:fill="FFFFFF"/>
        </w:rPr>
        <w:t>因公出国（境）共计</w:t>
      </w:r>
      <w:r>
        <w:rPr>
          <w:rFonts w:hint="default" w:ascii="Times New Roman" w:hAnsi="Times New Roman" w:eastAsia="方正仿宋_GBK"/>
          <w:b w:val="0"/>
          <w:bCs w:val="0"/>
          <w:color w:val="auto"/>
          <w:sz w:val="32"/>
          <w:szCs w:val="32"/>
          <w:shd w:val="clear" w:color="auto" w:fill="FFFFFF"/>
        </w:rPr>
        <w:t>0</w:t>
      </w:r>
      <w:r>
        <w:rPr>
          <w:rFonts w:ascii="Times New Roman" w:hAnsi="Times New Roman" w:eastAsia="方正仿宋_GBK" w:cs="方正仿宋_GBK"/>
          <w:b w:val="0"/>
          <w:bCs w:val="0"/>
          <w:color w:val="auto"/>
          <w:sz w:val="32"/>
          <w:szCs w:val="32"/>
          <w:shd w:val="clear" w:color="auto" w:fill="FFFFFF"/>
        </w:rPr>
        <w:t>个团组，</w:t>
      </w:r>
      <w:r>
        <w:rPr>
          <w:rFonts w:hint="default" w:ascii="Times New Roman" w:hAnsi="Times New Roman" w:eastAsia="方正仿宋_GBK"/>
          <w:b w:val="0"/>
          <w:bCs w:val="0"/>
          <w:color w:val="auto"/>
          <w:sz w:val="32"/>
          <w:szCs w:val="32"/>
          <w:shd w:val="clear" w:color="auto" w:fill="FFFFFF"/>
        </w:rPr>
        <w:t>0</w:t>
      </w:r>
      <w:r>
        <w:rPr>
          <w:rFonts w:ascii="Times New Roman" w:hAnsi="Times New Roman" w:eastAsia="方正仿宋_GBK" w:cs="方正仿宋_GBK"/>
          <w:b w:val="0"/>
          <w:bCs w:val="0"/>
          <w:color w:val="auto"/>
          <w:sz w:val="32"/>
          <w:szCs w:val="32"/>
          <w:shd w:val="clear" w:color="auto" w:fill="FFFFFF"/>
        </w:rPr>
        <w:t>人；公务用车购置</w:t>
      </w:r>
      <w:r>
        <w:rPr>
          <w:rFonts w:hint="default" w:ascii="Times New Roman" w:hAnsi="Times New Roman" w:eastAsia="方正仿宋_GBK"/>
          <w:b w:val="0"/>
          <w:bCs w:val="0"/>
          <w:color w:val="auto"/>
          <w:sz w:val="32"/>
          <w:szCs w:val="32"/>
          <w:shd w:val="clear" w:color="auto" w:fill="FFFFFF"/>
        </w:rPr>
        <w:t>0</w:t>
      </w:r>
      <w:r>
        <w:rPr>
          <w:rFonts w:ascii="Times New Roman" w:hAnsi="Times New Roman" w:eastAsia="方正仿宋_GBK" w:cs="方正仿宋_GBK"/>
          <w:b w:val="0"/>
          <w:bCs w:val="0"/>
          <w:color w:val="auto"/>
          <w:sz w:val="32"/>
          <w:szCs w:val="32"/>
          <w:shd w:val="clear" w:color="auto" w:fill="FFFFFF"/>
        </w:rPr>
        <w:t>辆，公务车保有量为</w:t>
      </w:r>
      <w:r>
        <w:rPr>
          <w:rFonts w:hint="default" w:ascii="Times New Roman" w:hAnsi="Times New Roman" w:eastAsia="方正仿宋_GBK"/>
          <w:b w:val="0"/>
          <w:bCs w:val="0"/>
          <w:color w:val="auto"/>
          <w:sz w:val="32"/>
          <w:szCs w:val="32"/>
          <w:shd w:val="clear" w:color="auto" w:fill="FFFFFF"/>
        </w:rPr>
        <w:t>0</w:t>
      </w:r>
      <w:r>
        <w:rPr>
          <w:rFonts w:ascii="Times New Roman" w:hAnsi="Times New Roman" w:eastAsia="方正仿宋_GBK" w:cs="方正仿宋_GBK"/>
          <w:b w:val="0"/>
          <w:bCs w:val="0"/>
          <w:color w:val="auto"/>
          <w:sz w:val="32"/>
          <w:szCs w:val="32"/>
          <w:shd w:val="clear" w:color="auto" w:fill="FFFFFF"/>
        </w:rPr>
        <w:t>辆；国内公务接待</w:t>
      </w:r>
      <w:r>
        <w:rPr>
          <w:rFonts w:hint="default" w:ascii="Times New Roman" w:hAnsi="Times New Roman" w:eastAsia="方正仿宋_GBK"/>
          <w:b w:val="0"/>
          <w:bCs w:val="0"/>
          <w:color w:val="auto"/>
          <w:sz w:val="32"/>
          <w:szCs w:val="32"/>
          <w:shd w:val="clear" w:color="auto" w:fill="FFFFFF"/>
        </w:rPr>
        <w:t>0</w:t>
      </w:r>
      <w:r>
        <w:rPr>
          <w:rFonts w:ascii="Times New Roman" w:hAnsi="Times New Roman" w:eastAsia="方正仿宋_GBK" w:cs="方正仿宋_GBK"/>
          <w:b w:val="0"/>
          <w:bCs w:val="0"/>
          <w:color w:val="auto"/>
          <w:sz w:val="32"/>
          <w:szCs w:val="32"/>
          <w:shd w:val="clear" w:color="auto" w:fill="FFFFFF"/>
        </w:rPr>
        <w:t>批次</w:t>
      </w:r>
      <w:r>
        <w:rPr>
          <w:rFonts w:hint="default" w:ascii="Times New Roman" w:hAnsi="Times New Roman" w:eastAsia="方正仿宋_GBK"/>
          <w:b w:val="0"/>
          <w:bCs w:val="0"/>
          <w:color w:val="auto"/>
          <w:sz w:val="32"/>
          <w:szCs w:val="32"/>
          <w:shd w:val="clear" w:color="auto" w:fill="FFFFFF"/>
        </w:rPr>
        <w:t>0</w:t>
      </w:r>
      <w:r>
        <w:rPr>
          <w:rFonts w:ascii="Times New Roman" w:hAnsi="Times New Roman" w:eastAsia="方正仿宋_GBK" w:cs="方正仿宋_GBK"/>
          <w:b w:val="0"/>
          <w:bCs w:val="0"/>
          <w:color w:val="auto"/>
          <w:sz w:val="32"/>
          <w:szCs w:val="32"/>
          <w:shd w:val="clear" w:color="auto" w:fill="FFFFFF"/>
        </w:rPr>
        <w:t>人，其中：国内外事接待</w:t>
      </w:r>
      <w:r>
        <w:rPr>
          <w:rFonts w:hint="default" w:ascii="Times New Roman" w:hAnsi="Times New Roman" w:eastAsia="方正仿宋_GBK"/>
          <w:b w:val="0"/>
          <w:bCs w:val="0"/>
          <w:color w:val="auto"/>
          <w:sz w:val="32"/>
          <w:szCs w:val="32"/>
          <w:shd w:val="clear" w:color="auto" w:fill="FFFFFF"/>
        </w:rPr>
        <w:t>0</w:t>
      </w:r>
      <w:r>
        <w:rPr>
          <w:rFonts w:ascii="Times New Roman" w:hAnsi="Times New Roman" w:eastAsia="方正仿宋_GBK" w:cs="方正仿宋_GBK"/>
          <w:b w:val="0"/>
          <w:bCs w:val="0"/>
          <w:color w:val="auto"/>
          <w:sz w:val="32"/>
          <w:szCs w:val="32"/>
          <w:shd w:val="clear" w:color="auto" w:fill="FFFFFF"/>
        </w:rPr>
        <w:t>批次，</w:t>
      </w:r>
      <w:r>
        <w:rPr>
          <w:rFonts w:hint="default" w:ascii="Times New Roman" w:hAnsi="Times New Roman" w:eastAsia="方正仿宋_GBK"/>
          <w:b w:val="0"/>
          <w:bCs w:val="0"/>
          <w:color w:val="auto"/>
          <w:sz w:val="32"/>
          <w:szCs w:val="32"/>
          <w:shd w:val="clear" w:color="auto" w:fill="FFFFFF"/>
        </w:rPr>
        <w:t>0</w:t>
      </w:r>
      <w:r>
        <w:rPr>
          <w:rFonts w:ascii="Times New Roman" w:hAnsi="Times New Roman" w:eastAsia="方正仿宋_GBK" w:cs="方正仿宋_GBK"/>
          <w:b w:val="0"/>
          <w:bCs w:val="0"/>
          <w:color w:val="auto"/>
          <w:sz w:val="32"/>
          <w:szCs w:val="32"/>
          <w:shd w:val="clear" w:color="auto" w:fill="FFFFFF"/>
        </w:rPr>
        <w:t>人；国（境）外公务接待</w:t>
      </w:r>
      <w:r>
        <w:rPr>
          <w:rFonts w:hint="default" w:ascii="Times New Roman" w:hAnsi="Times New Roman" w:eastAsia="方正仿宋_GBK"/>
          <w:b w:val="0"/>
          <w:bCs w:val="0"/>
          <w:color w:val="auto"/>
          <w:sz w:val="32"/>
          <w:szCs w:val="32"/>
          <w:shd w:val="clear" w:color="auto" w:fill="FFFFFF"/>
        </w:rPr>
        <w:t>0</w:t>
      </w:r>
      <w:r>
        <w:rPr>
          <w:rFonts w:ascii="Times New Roman" w:hAnsi="Times New Roman" w:eastAsia="方正仿宋_GBK" w:cs="方正仿宋_GBK"/>
          <w:b w:val="0"/>
          <w:bCs w:val="0"/>
          <w:color w:val="auto"/>
          <w:sz w:val="32"/>
          <w:szCs w:val="32"/>
          <w:shd w:val="clear" w:color="auto" w:fill="FFFFFF"/>
        </w:rPr>
        <w:t>批次，</w:t>
      </w:r>
      <w:r>
        <w:rPr>
          <w:rFonts w:hint="default" w:ascii="Times New Roman" w:hAnsi="Times New Roman" w:eastAsia="方正仿宋_GBK"/>
          <w:b w:val="0"/>
          <w:bCs w:val="0"/>
          <w:color w:val="auto"/>
          <w:sz w:val="32"/>
          <w:szCs w:val="32"/>
          <w:shd w:val="clear" w:color="auto" w:fill="FFFFFF"/>
        </w:rPr>
        <w:t>0</w:t>
      </w:r>
      <w:r>
        <w:rPr>
          <w:rFonts w:ascii="Times New Roman" w:hAnsi="Times New Roman" w:eastAsia="方正仿宋_GBK" w:cs="方正仿宋_GBK"/>
          <w:b w:val="0"/>
          <w:bCs w:val="0"/>
          <w:color w:val="auto"/>
          <w:sz w:val="32"/>
          <w:szCs w:val="32"/>
          <w:shd w:val="clear" w:color="auto" w:fill="FFFFFF"/>
        </w:rPr>
        <w:t>人。</w:t>
      </w:r>
      <w:r>
        <w:rPr>
          <w:rFonts w:hint="default" w:ascii="Times New Roman" w:hAnsi="Times New Roman" w:eastAsia="方正仿宋_GBK"/>
          <w:b w:val="0"/>
          <w:bCs w:val="0"/>
          <w:color w:val="auto"/>
          <w:sz w:val="32"/>
          <w:szCs w:val="32"/>
          <w:shd w:val="clear" w:color="auto" w:fill="FFFFFF"/>
        </w:rPr>
        <w:t>2024</w:t>
      </w:r>
      <w:r>
        <w:rPr>
          <w:rFonts w:ascii="Times New Roman" w:hAnsi="Times New Roman" w:eastAsia="方正仿宋_GBK" w:cs="方正仿宋_GBK"/>
          <w:b w:val="0"/>
          <w:bCs w:val="0"/>
          <w:color w:val="auto"/>
          <w:sz w:val="32"/>
          <w:szCs w:val="32"/>
          <w:shd w:val="clear" w:color="auto" w:fill="FFFFFF"/>
        </w:rPr>
        <w:t>年本</w:t>
      </w:r>
      <w:r>
        <w:rPr>
          <w:rFonts w:hint="eastAsia" w:ascii="Times New Roman" w:hAnsi="Times New Roman" w:eastAsia="方正仿宋_GBK" w:cs="方正仿宋_GBK"/>
          <w:b w:val="0"/>
          <w:bCs w:val="0"/>
          <w:color w:val="auto"/>
          <w:sz w:val="32"/>
          <w:szCs w:val="32"/>
          <w:shd w:val="clear" w:color="auto" w:fill="FFFFFF"/>
          <w:lang w:eastAsia="zh-CN"/>
        </w:rPr>
        <w:t>单位</w:t>
      </w:r>
      <w:r>
        <w:rPr>
          <w:rFonts w:ascii="Times New Roman" w:hAnsi="Times New Roman" w:eastAsia="方正仿宋_GBK" w:cs="方正仿宋_GBK"/>
          <w:b w:val="0"/>
          <w:bCs w:val="0"/>
          <w:color w:val="auto"/>
          <w:sz w:val="32"/>
          <w:szCs w:val="32"/>
          <w:shd w:val="clear" w:color="auto" w:fill="FFFFFF"/>
        </w:rPr>
        <w:t>人均接待费</w:t>
      </w:r>
      <w:r>
        <w:rPr>
          <w:rFonts w:hint="default" w:ascii="Times New Roman" w:hAnsi="Times New Roman" w:eastAsia="方正仿宋_GBK"/>
          <w:b w:val="0"/>
          <w:bCs w:val="0"/>
          <w:color w:val="auto"/>
          <w:sz w:val="32"/>
          <w:szCs w:val="32"/>
          <w:shd w:val="clear" w:color="auto" w:fill="FFFFFF"/>
        </w:rPr>
        <w:t>0</w:t>
      </w:r>
      <w:r>
        <w:rPr>
          <w:rFonts w:ascii="Times New Roman" w:hAnsi="Times New Roman" w:eastAsia="方正仿宋_GBK" w:cs="方正仿宋_GBK"/>
          <w:b w:val="0"/>
          <w:bCs w:val="0"/>
          <w:color w:val="auto"/>
          <w:sz w:val="32"/>
          <w:szCs w:val="32"/>
          <w:shd w:val="clear" w:color="auto" w:fill="FFFFFF"/>
        </w:rPr>
        <w:t>元，车均购置费</w:t>
      </w:r>
      <w:r>
        <w:rPr>
          <w:rFonts w:hint="default" w:ascii="Times New Roman" w:hAnsi="Times New Roman" w:eastAsia="方正仿宋_GBK"/>
          <w:b w:val="0"/>
          <w:bCs w:val="0"/>
          <w:color w:val="auto"/>
          <w:sz w:val="32"/>
          <w:szCs w:val="32"/>
          <w:shd w:val="clear" w:color="auto" w:fill="FFFFFF"/>
        </w:rPr>
        <w:t>0</w:t>
      </w:r>
      <w:r>
        <w:rPr>
          <w:rFonts w:ascii="Times New Roman" w:hAnsi="Times New Roman" w:eastAsia="方正仿宋_GBK" w:cs="方正仿宋_GBK"/>
          <w:b w:val="0"/>
          <w:bCs w:val="0"/>
          <w:color w:val="auto"/>
          <w:sz w:val="32"/>
          <w:szCs w:val="32"/>
          <w:shd w:val="clear" w:color="auto" w:fill="FFFFFF"/>
        </w:rPr>
        <w:t>万元，车均维护费</w:t>
      </w:r>
      <w:r>
        <w:rPr>
          <w:rFonts w:hint="default" w:ascii="Times New Roman" w:hAnsi="Times New Roman" w:eastAsia="方正仿宋_GBK"/>
          <w:b w:val="0"/>
          <w:bCs w:val="0"/>
          <w:color w:val="auto"/>
          <w:sz w:val="32"/>
          <w:szCs w:val="32"/>
          <w:shd w:val="clear" w:color="auto" w:fill="FFFFFF"/>
        </w:rPr>
        <w:t>0</w:t>
      </w:r>
      <w:r>
        <w:rPr>
          <w:rFonts w:ascii="Times New Roman" w:hAnsi="Times New Roman" w:eastAsia="方正仿宋_GBK" w:cs="方正仿宋_GBK"/>
          <w:b w:val="0"/>
          <w:bCs w:val="0"/>
          <w:color w:val="auto"/>
          <w:sz w:val="32"/>
          <w:szCs w:val="32"/>
          <w:shd w:val="clear" w:color="auto" w:fill="FFFFFF"/>
        </w:rPr>
        <w:t>万元。</w:t>
      </w:r>
    </w:p>
    <w:p>
      <w:pPr>
        <w:pStyle w:val="9"/>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Style w:val="11"/>
          <w:rFonts w:hint="default" w:ascii="黑体" w:hAnsi="黑体" w:eastAsia="黑体" w:cs="黑体"/>
          <w:b w:val="0"/>
          <w:bCs/>
          <w:sz w:val="32"/>
          <w:szCs w:val="32"/>
          <w:shd w:val="clear" w:color="auto" w:fill="FFFFFF"/>
        </w:rPr>
      </w:pPr>
      <w:r>
        <w:rPr>
          <w:rStyle w:val="11"/>
          <w:rFonts w:ascii="黑体" w:hAnsi="黑体" w:eastAsia="黑体" w:cs="黑体"/>
          <w:b w:val="0"/>
          <w:bCs/>
          <w:sz w:val="32"/>
          <w:szCs w:val="32"/>
          <w:shd w:val="clear" w:color="auto" w:fill="FFFFFF"/>
        </w:rPr>
        <w:t>四、其他需要说明的事项</w:t>
      </w:r>
    </w:p>
    <w:p>
      <w:pPr>
        <w:pStyle w:val="9"/>
        <w:keepNext w:val="0"/>
        <w:keepLines w:val="0"/>
        <w:pageBreakBefore w:val="0"/>
        <w:widowControl/>
        <w:shd w:val="clear" w:color="auto" w:fill="FFFFFF"/>
        <w:kinsoku/>
        <w:wordWrap/>
        <w:overflowPunct/>
        <w:topLinePunct w:val="0"/>
        <w:autoSpaceDE/>
        <w:autoSpaceDN/>
        <w:bidi w:val="0"/>
        <w:adjustRightInd w:val="0"/>
        <w:snapToGrid w:val="0"/>
        <w:spacing w:before="0" w:beforeAutospacing="0" w:after="0" w:afterAutospacing="0" w:line="560" w:lineRule="exact"/>
        <w:ind w:firstLine="640" w:firstLineChars="200"/>
        <w:jc w:val="both"/>
        <w:textAlignment w:val="auto"/>
        <w:rPr>
          <w:rStyle w:val="11"/>
          <w:rFonts w:hint="default" w:ascii="Times New Roman" w:hAnsi="Times New Roman" w:eastAsia="方正楷体_GBK" w:cs="Times New Roman"/>
          <w:b w:val="0"/>
          <w:bCs w:val="0"/>
          <w:color w:val="auto"/>
          <w:sz w:val="32"/>
          <w:szCs w:val="32"/>
          <w:shd w:val="clear" w:color="auto" w:fill="FFFFFF"/>
        </w:rPr>
      </w:pPr>
      <w:r>
        <w:rPr>
          <w:rStyle w:val="11"/>
          <w:rFonts w:hint="default" w:ascii="Times New Roman" w:hAnsi="Times New Roman" w:eastAsia="方正楷体_GBK" w:cs="Times New Roman"/>
          <w:b w:val="0"/>
          <w:bCs w:val="0"/>
          <w:color w:val="auto"/>
          <w:sz w:val="32"/>
          <w:szCs w:val="32"/>
          <w:shd w:val="clear" w:color="auto" w:fill="FFFFFF"/>
        </w:rPr>
        <w:t>（一）财政拨款会议费、培训费和差旅费情况说明</w:t>
      </w:r>
    </w:p>
    <w:p>
      <w:pPr>
        <w:pStyle w:val="15"/>
        <w:keepNext w:val="0"/>
        <w:keepLines w:val="0"/>
        <w:pageBreakBefore w:val="0"/>
        <w:widowControl/>
        <w:kinsoku/>
        <w:wordWrap/>
        <w:overflowPunct/>
        <w:topLinePunct w:val="0"/>
        <w:autoSpaceDE/>
        <w:autoSpaceDN/>
        <w:bidi w:val="0"/>
        <w:adjustRightInd w:val="0"/>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val="0"/>
          <w:color w:val="auto"/>
          <w:kern w:val="0"/>
          <w:sz w:val="32"/>
          <w:szCs w:val="32"/>
          <w:lang w:val="en-US" w:eastAsia="zh-CN" w:bidi="ar"/>
        </w:rPr>
      </w:pPr>
      <w:r>
        <w:rPr>
          <w:rFonts w:hint="default" w:ascii="Times New Roman" w:hAnsi="Times New Roman" w:eastAsia="方正仿宋_GBK" w:cs="Times New Roman"/>
          <w:b w:val="0"/>
          <w:bCs w:val="0"/>
          <w:color w:val="auto"/>
          <w:kern w:val="0"/>
          <w:sz w:val="32"/>
          <w:szCs w:val="32"/>
          <w:lang w:val="en-US" w:eastAsia="zh-CN" w:bidi="ar"/>
        </w:rPr>
        <w:t>因本单位为差额单位原因，未使用财政资金保障会议费、培训费和差旅费。</w:t>
      </w:r>
    </w:p>
    <w:p>
      <w:pPr>
        <w:pStyle w:val="9"/>
        <w:keepNext w:val="0"/>
        <w:keepLines w:val="0"/>
        <w:pageBreakBefore w:val="0"/>
        <w:widowControl/>
        <w:shd w:val="clear" w:color="auto" w:fill="FFFFFF"/>
        <w:kinsoku/>
        <w:wordWrap/>
        <w:overflowPunct/>
        <w:topLinePunct w:val="0"/>
        <w:autoSpaceDE/>
        <w:autoSpaceDN/>
        <w:bidi w:val="0"/>
        <w:adjustRightInd w:val="0"/>
        <w:snapToGrid w:val="0"/>
        <w:spacing w:before="0" w:beforeAutospacing="0" w:after="0" w:afterAutospacing="0" w:line="560" w:lineRule="exact"/>
        <w:ind w:firstLine="640" w:firstLineChars="200"/>
        <w:jc w:val="both"/>
        <w:textAlignment w:val="auto"/>
        <w:rPr>
          <w:rStyle w:val="11"/>
          <w:rFonts w:hint="default" w:ascii="Times New Roman" w:hAnsi="Times New Roman" w:eastAsia="方正楷体_GBK" w:cs="Times New Roman"/>
          <w:b w:val="0"/>
          <w:bCs w:val="0"/>
          <w:color w:val="auto"/>
          <w:sz w:val="32"/>
          <w:szCs w:val="32"/>
          <w:shd w:val="clear" w:color="auto" w:fill="FFFFFF"/>
          <w:lang w:val="en-US" w:eastAsia="zh-CN"/>
        </w:rPr>
      </w:pPr>
      <w:r>
        <w:rPr>
          <w:rStyle w:val="11"/>
          <w:rFonts w:hint="default" w:ascii="Times New Roman" w:hAnsi="Times New Roman" w:eastAsia="方正楷体_GBK" w:cs="Times New Roman"/>
          <w:b w:val="0"/>
          <w:bCs w:val="0"/>
          <w:color w:val="auto"/>
          <w:sz w:val="32"/>
          <w:szCs w:val="32"/>
          <w:shd w:val="clear" w:color="auto" w:fill="FFFFFF"/>
          <w:lang w:val="en-US" w:eastAsia="zh-CN"/>
        </w:rPr>
        <w:t>（二）机关运行经费情况说明</w:t>
      </w:r>
    </w:p>
    <w:p>
      <w:pPr>
        <w:pStyle w:val="9"/>
        <w:keepNext w:val="0"/>
        <w:keepLines w:val="0"/>
        <w:pageBreakBefore w:val="0"/>
        <w:kinsoku/>
        <w:wordWrap/>
        <w:overflowPunct/>
        <w:topLinePunct w:val="0"/>
        <w:autoSpaceDN/>
        <w:bidi w:val="0"/>
        <w:adjustRightInd w:val="0"/>
        <w:snapToGrid w:val="0"/>
        <w:spacing w:before="0" w:beforeAutospacing="0" w:after="0" w:afterAutospacing="0" w:line="560" w:lineRule="exact"/>
        <w:ind w:firstLine="640" w:firstLineChars="200"/>
        <w:jc w:val="both"/>
        <w:textAlignment w:val="auto"/>
        <w:rPr>
          <w:rFonts w:hint="default" w:ascii="Times New Roman" w:hAnsi="Times New Roman" w:eastAsia="方正仿宋_GBK" w:cs="Times New Roman"/>
          <w:b w:val="0"/>
          <w:bCs w:val="0"/>
          <w:color w:val="auto"/>
          <w:kern w:val="0"/>
          <w:sz w:val="32"/>
          <w:szCs w:val="32"/>
          <w:lang w:val="en-US" w:eastAsia="zh-CN" w:bidi="ar"/>
        </w:rPr>
      </w:pPr>
      <w:r>
        <w:rPr>
          <w:rFonts w:hint="default" w:ascii="Times New Roman" w:hAnsi="Times New Roman" w:eastAsia="方正仿宋_GBK" w:cs="Times New Roman"/>
          <w:b w:val="0"/>
          <w:bCs w:val="0"/>
          <w:color w:val="auto"/>
          <w:kern w:val="0"/>
          <w:sz w:val="32"/>
          <w:szCs w:val="32"/>
          <w:lang w:val="en-US" w:eastAsia="zh-CN" w:bidi="ar"/>
        </w:rPr>
        <w:t>因本单位为差额单位原因，</w:t>
      </w:r>
      <w:r>
        <w:rPr>
          <w:rFonts w:hint="eastAsia" w:ascii="Times New Roman" w:hAnsi="Times New Roman" w:eastAsia="方正仿宋_GBK" w:cs="Times New Roman"/>
          <w:b w:val="0"/>
          <w:bCs w:val="0"/>
          <w:color w:val="auto"/>
          <w:kern w:val="0"/>
          <w:sz w:val="32"/>
          <w:szCs w:val="32"/>
          <w:lang w:val="en-US" w:eastAsia="zh-CN" w:bidi="ar"/>
        </w:rPr>
        <w:t>本</w:t>
      </w:r>
      <w:r>
        <w:rPr>
          <w:rFonts w:hint="default" w:ascii="Times New Roman" w:hAnsi="Times New Roman" w:eastAsia="方正仿宋_GBK" w:cs="Times New Roman"/>
          <w:b w:val="0"/>
          <w:bCs w:val="0"/>
          <w:color w:val="auto"/>
          <w:kern w:val="0"/>
          <w:sz w:val="32"/>
          <w:szCs w:val="32"/>
          <w:lang w:val="en-US" w:eastAsia="zh-CN" w:bidi="ar"/>
        </w:rPr>
        <w:t>单位资产未纳入部门决算报表。</w:t>
      </w:r>
    </w:p>
    <w:p>
      <w:pPr>
        <w:pStyle w:val="9"/>
        <w:keepNext w:val="0"/>
        <w:keepLines w:val="0"/>
        <w:pageBreakBefore w:val="0"/>
        <w:widowControl/>
        <w:shd w:val="clear" w:color="auto" w:fill="FFFFFF"/>
        <w:kinsoku/>
        <w:wordWrap/>
        <w:overflowPunct/>
        <w:topLinePunct w:val="0"/>
        <w:autoSpaceDE/>
        <w:autoSpaceDN/>
        <w:bidi w:val="0"/>
        <w:adjustRightInd w:val="0"/>
        <w:snapToGrid w:val="0"/>
        <w:spacing w:before="0" w:beforeAutospacing="0" w:after="0" w:afterAutospacing="0" w:line="560" w:lineRule="exact"/>
        <w:ind w:firstLine="640" w:firstLineChars="200"/>
        <w:jc w:val="both"/>
        <w:textAlignment w:val="auto"/>
        <w:rPr>
          <w:rStyle w:val="11"/>
          <w:rFonts w:hint="default" w:ascii="Times New Roman" w:hAnsi="Times New Roman" w:eastAsia="方正楷体_GBK" w:cs="Times New Roman"/>
          <w:b w:val="0"/>
          <w:bCs w:val="0"/>
          <w:color w:val="auto"/>
          <w:sz w:val="32"/>
          <w:szCs w:val="32"/>
          <w:shd w:val="clear" w:color="auto" w:fill="FFFFFF"/>
        </w:rPr>
      </w:pPr>
      <w:r>
        <w:rPr>
          <w:rStyle w:val="11"/>
          <w:rFonts w:hint="default" w:ascii="Times New Roman" w:hAnsi="Times New Roman" w:eastAsia="方正楷体_GBK" w:cs="Times New Roman"/>
          <w:b w:val="0"/>
          <w:bCs w:val="0"/>
          <w:color w:val="auto"/>
          <w:sz w:val="32"/>
          <w:szCs w:val="32"/>
          <w:shd w:val="clear" w:color="auto" w:fill="FFFFFF"/>
        </w:rPr>
        <w:t>（三）国有资产占用情况说明</w:t>
      </w:r>
    </w:p>
    <w:p>
      <w:pPr>
        <w:pStyle w:val="9"/>
        <w:keepNext w:val="0"/>
        <w:keepLines w:val="0"/>
        <w:pageBreakBefore w:val="0"/>
        <w:kinsoku/>
        <w:wordWrap/>
        <w:overflowPunct/>
        <w:topLinePunct w:val="0"/>
        <w:autoSpaceDN/>
        <w:bidi w:val="0"/>
        <w:adjustRightInd w:val="0"/>
        <w:snapToGrid w:val="0"/>
        <w:spacing w:before="0" w:beforeAutospacing="0" w:after="0" w:afterAutospacing="0" w:line="560" w:lineRule="exact"/>
        <w:ind w:firstLine="640" w:firstLineChars="200"/>
        <w:jc w:val="both"/>
        <w:textAlignment w:val="auto"/>
        <w:rPr>
          <w:rFonts w:hint="default" w:ascii="Times New Roman" w:hAnsi="Times New Roman" w:eastAsia="方正仿宋_GBK" w:cs="Times New Roman"/>
          <w:b w:val="0"/>
          <w:bCs w:val="0"/>
          <w:color w:val="auto"/>
          <w:sz w:val="32"/>
          <w:szCs w:val="32"/>
          <w:lang w:val="en-US" w:eastAsia="zh-CN"/>
        </w:rPr>
      </w:pPr>
      <w:r>
        <w:rPr>
          <w:rFonts w:hint="default" w:ascii="Times New Roman" w:hAnsi="Times New Roman" w:eastAsia="方正仿宋_GBK" w:cs="Times New Roman"/>
          <w:b w:val="0"/>
          <w:bCs w:val="0"/>
          <w:color w:val="auto"/>
          <w:sz w:val="32"/>
          <w:szCs w:val="32"/>
          <w:shd w:val="clear" w:color="auto" w:fill="FFFFFF"/>
        </w:rPr>
        <w:t>截至2024年12月31日，本</w:t>
      </w:r>
      <w:r>
        <w:rPr>
          <w:rFonts w:hint="default" w:ascii="Times New Roman" w:hAnsi="Times New Roman" w:eastAsia="方正仿宋_GBK" w:cs="Times New Roman"/>
          <w:b w:val="0"/>
          <w:bCs w:val="0"/>
          <w:color w:val="auto"/>
          <w:sz w:val="32"/>
          <w:szCs w:val="32"/>
          <w:shd w:val="clear" w:color="auto" w:fill="FFFFFF"/>
          <w:lang w:eastAsia="zh-CN"/>
        </w:rPr>
        <w:t>单位</w:t>
      </w:r>
      <w:r>
        <w:rPr>
          <w:rFonts w:hint="default" w:ascii="Times New Roman" w:hAnsi="Times New Roman" w:eastAsia="方正仿宋_GBK" w:cs="Times New Roman"/>
          <w:b w:val="0"/>
          <w:bCs w:val="0"/>
          <w:color w:val="auto"/>
          <w:sz w:val="32"/>
          <w:szCs w:val="32"/>
          <w:shd w:val="clear" w:color="auto" w:fill="FFFFFF"/>
        </w:rPr>
        <w:t>共有车辆1辆，其中，副部（省）级及以上领导用车0辆、主要负责人用车0辆、机要通信用车0辆、应急保障用车0辆、执法执勤用车0辆，特种专业技术用车1辆，离退休干部用车0辆。单价100万元（含）以上专用设备0台（套）。</w:t>
      </w:r>
    </w:p>
    <w:p>
      <w:pPr>
        <w:pStyle w:val="9"/>
        <w:keepNext w:val="0"/>
        <w:keepLines w:val="0"/>
        <w:pageBreakBefore w:val="0"/>
        <w:widowControl/>
        <w:shd w:val="clear" w:color="auto" w:fill="FFFFFF"/>
        <w:kinsoku/>
        <w:wordWrap/>
        <w:overflowPunct/>
        <w:topLinePunct w:val="0"/>
        <w:autoSpaceDE/>
        <w:autoSpaceDN/>
        <w:bidi w:val="0"/>
        <w:adjustRightInd w:val="0"/>
        <w:snapToGrid w:val="0"/>
        <w:spacing w:before="0" w:beforeAutospacing="0" w:after="0" w:afterAutospacing="0" w:line="560" w:lineRule="exact"/>
        <w:ind w:firstLine="640" w:firstLineChars="200"/>
        <w:jc w:val="both"/>
        <w:textAlignment w:val="auto"/>
        <w:rPr>
          <w:rStyle w:val="11"/>
          <w:rFonts w:hint="default" w:ascii="Times New Roman" w:hAnsi="Times New Roman" w:eastAsia="方正楷体_GBK" w:cs="Times New Roman"/>
          <w:b w:val="0"/>
          <w:bCs w:val="0"/>
          <w:color w:val="auto"/>
          <w:sz w:val="32"/>
          <w:szCs w:val="32"/>
          <w:shd w:val="clear" w:color="auto" w:fill="FFFFFF"/>
        </w:rPr>
      </w:pPr>
      <w:r>
        <w:rPr>
          <w:rStyle w:val="11"/>
          <w:rFonts w:hint="default" w:ascii="Times New Roman" w:hAnsi="Times New Roman" w:eastAsia="方正楷体_GBK" w:cs="Times New Roman"/>
          <w:b w:val="0"/>
          <w:bCs w:val="0"/>
          <w:color w:val="auto"/>
          <w:sz w:val="32"/>
          <w:szCs w:val="32"/>
          <w:shd w:val="clear" w:color="auto" w:fill="FFFFFF"/>
        </w:rPr>
        <w:t>（</w:t>
      </w:r>
      <w:r>
        <w:rPr>
          <w:rStyle w:val="11"/>
          <w:rFonts w:hint="default" w:ascii="Times New Roman" w:hAnsi="Times New Roman" w:eastAsia="方正楷体_GBK" w:cs="Times New Roman"/>
          <w:b w:val="0"/>
          <w:bCs w:val="0"/>
          <w:color w:val="auto"/>
          <w:sz w:val="32"/>
          <w:szCs w:val="32"/>
          <w:shd w:val="clear" w:color="auto" w:fill="FFFFFF"/>
          <w:lang w:val="en-US" w:eastAsia="zh-CN"/>
        </w:rPr>
        <w:t>四</w:t>
      </w:r>
      <w:r>
        <w:rPr>
          <w:rStyle w:val="11"/>
          <w:rFonts w:hint="default" w:ascii="Times New Roman" w:hAnsi="Times New Roman" w:eastAsia="方正楷体_GBK" w:cs="Times New Roman"/>
          <w:b w:val="0"/>
          <w:bCs w:val="0"/>
          <w:color w:val="auto"/>
          <w:sz w:val="32"/>
          <w:szCs w:val="32"/>
          <w:shd w:val="clear" w:color="auto" w:fill="FFFFFF"/>
        </w:rPr>
        <w:t>）政府采购支出情况说明</w:t>
      </w:r>
    </w:p>
    <w:p>
      <w:pPr>
        <w:pStyle w:val="9"/>
        <w:snapToGrid w:val="0"/>
        <w:spacing w:before="0" w:beforeAutospacing="0" w:after="0" w:afterAutospacing="0" w:line="596" w:lineRule="exact"/>
        <w:ind w:firstLine="640" w:firstLineChars="200"/>
        <w:jc w:val="both"/>
        <w:rPr>
          <w:rFonts w:hint="default" w:ascii="方正仿宋_GBK" w:hAnsi="方正仿宋_GBK" w:eastAsia="方正仿宋_GBK" w:cs="方正仿宋_GBK"/>
          <w:color w:val="auto"/>
          <w:sz w:val="32"/>
          <w:szCs w:val="32"/>
          <w:highlight w:val="yellow"/>
        </w:rPr>
      </w:pPr>
      <w:r>
        <w:rPr>
          <w:rFonts w:hint="default" w:ascii="Times New Roman" w:hAnsi="Times New Roman" w:eastAsia="方正仿宋_GBK" w:cs="Times New Roman"/>
          <w:b w:val="0"/>
          <w:bCs w:val="0"/>
          <w:color w:val="auto"/>
          <w:sz w:val="32"/>
          <w:szCs w:val="32"/>
          <w:shd w:val="clear" w:color="auto" w:fill="FFFFFF"/>
        </w:rPr>
        <w:t>2024年度本</w:t>
      </w:r>
      <w:r>
        <w:rPr>
          <w:rFonts w:hint="default" w:ascii="Times New Roman" w:hAnsi="Times New Roman" w:eastAsia="方正仿宋_GBK" w:cs="Times New Roman"/>
          <w:b w:val="0"/>
          <w:bCs w:val="0"/>
          <w:color w:val="auto"/>
          <w:sz w:val="32"/>
          <w:szCs w:val="32"/>
          <w:shd w:val="clear" w:color="auto" w:fill="FFFFFF"/>
          <w:lang w:eastAsia="zh-CN"/>
        </w:rPr>
        <w:t>单位</w:t>
      </w:r>
      <w:r>
        <w:rPr>
          <w:rFonts w:hint="default" w:ascii="Times New Roman" w:hAnsi="Times New Roman" w:eastAsia="方正仿宋_GBK" w:cs="Times New Roman"/>
          <w:b w:val="0"/>
          <w:bCs w:val="0"/>
          <w:color w:val="auto"/>
          <w:sz w:val="32"/>
          <w:szCs w:val="32"/>
          <w:shd w:val="clear" w:color="auto" w:fill="FFFFFF"/>
        </w:rPr>
        <w:t>政府采购支出总额0.85万元，其中：政府采购货物支出0.85万元、政府采购工程支出0.00万元、政府采购服务支出0.00万元。授予中小企业合同金额0.85</w:t>
      </w:r>
      <w:r>
        <w:rPr>
          <w:rFonts w:hint="default" w:ascii="Times New Roman" w:hAnsi="Times New Roman" w:eastAsia="方正仿宋_GBK" w:cs="Times New Roman"/>
          <w:b w:val="0"/>
          <w:bCs w:val="0"/>
          <w:color w:val="auto"/>
          <w:sz w:val="32"/>
          <w:szCs w:val="32"/>
        </w:rPr>
        <w:t>万</w:t>
      </w:r>
      <w:r>
        <w:rPr>
          <w:rFonts w:hint="default" w:ascii="Times New Roman" w:hAnsi="Times New Roman" w:eastAsia="方正仿宋_GBK" w:cs="Times New Roman"/>
          <w:b w:val="0"/>
          <w:bCs w:val="0"/>
          <w:color w:val="auto"/>
          <w:sz w:val="32"/>
          <w:szCs w:val="32"/>
          <w:shd w:val="clear" w:color="auto" w:fill="FFFFFF"/>
        </w:rPr>
        <w:t>元，占政府采购支出总额的100.0%，其中：授予小微企业合同金额0.85万元，占政府采购支出总额的100.0 %。主要用于采购</w:t>
      </w:r>
      <w:r>
        <w:rPr>
          <w:rFonts w:hint="default" w:ascii="Times New Roman" w:hAnsi="Times New Roman" w:eastAsia="方正仿宋_GBK" w:cs="Times New Roman"/>
          <w:b w:val="0"/>
          <w:bCs w:val="0"/>
          <w:color w:val="auto"/>
          <w:sz w:val="32"/>
          <w:szCs w:val="32"/>
          <w:shd w:val="clear" w:color="auto" w:fill="FFFFFF"/>
          <w:lang w:val="en-US" w:eastAsia="zh-CN"/>
        </w:rPr>
        <w:t>办公设备及办公用品。</w:t>
      </w:r>
    </w:p>
    <w:p>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96" w:lineRule="exact"/>
        <w:ind w:firstLine="640" w:firstLineChars="200"/>
        <w:textAlignment w:val="auto"/>
        <w:rPr>
          <w:rStyle w:val="11"/>
          <w:rFonts w:hint="default" w:ascii="方正黑体_GBK" w:hAnsi="方正黑体_GBK" w:eastAsia="方正黑体_GBK" w:cs="方正黑体_GBK"/>
          <w:b w:val="0"/>
          <w:bCs/>
          <w:sz w:val="32"/>
          <w:szCs w:val="32"/>
          <w:shd w:val="clear" w:color="auto" w:fill="FFFFFF"/>
          <w:lang w:eastAsia="zh-CN"/>
        </w:rPr>
      </w:pPr>
      <w:r>
        <w:rPr>
          <w:rStyle w:val="11"/>
          <w:rFonts w:hint="default" w:ascii="方正黑体_GBK" w:hAnsi="方正黑体_GBK" w:eastAsia="方正黑体_GBK" w:cs="方正黑体_GBK"/>
          <w:b w:val="0"/>
          <w:bCs/>
          <w:sz w:val="32"/>
          <w:szCs w:val="32"/>
          <w:shd w:val="clear" w:color="auto" w:fill="FFFFFF"/>
          <w:lang w:val="en-US" w:eastAsia="zh-CN"/>
        </w:rPr>
        <w:t>五、</w:t>
      </w:r>
      <w:r>
        <w:rPr>
          <w:rStyle w:val="11"/>
          <w:rFonts w:hint="default" w:ascii="方正黑体_GBK" w:hAnsi="方正黑体_GBK" w:eastAsia="方正黑体_GBK" w:cs="方正黑体_GBK"/>
          <w:b w:val="0"/>
          <w:bCs/>
          <w:sz w:val="32"/>
          <w:szCs w:val="32"/>
          <w:shd w:val="clear" w:color="auto" w:fill="FFFFFF"/>
          <w:lang w:eastAsia="zh-CN"/>
        </w:rPr>
        <w:t>预算绩效管理情况说明</w:t>
      </w:r>
    </w:p>
    <w:p>
      <w:pPr>
        <w:pStyle w:val="9"/>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560" w:lineRule="exact"/>
        <w:ind w:firstLine="640" w:firstLineChars="200"/>
        <w:jc w:val="both"/>
        <w:textAlignment w:val="auto"/>
        <w:outlineLvl w:val="9"/>
        <w:rPr>
          <w:rFonts w:hint="default" w:ascii="方正楷体_GBK" w:hAnsi="方正楷体_GBK" w:eastAsia="方正楷体_GBK" w:cs="方正楷体_GBK"/>
          <w:b w:val="0"/>
          <w:bCs w:val="0"/>
          <w:sz w:val="32"/>
          <w:szCs w:val="32"/>
          <w:shd w:val="clear" w:color="auto" w:fill="FFFFFF"/>
        </w:rPr>
      </w:pPr>
      <w:r>
        <w:rPr>
          <w:rFonts w:hint="default" w:ascii="方正楷体_GBK" w:hAnsi="方正楷体_GBK" w:eastAsia="方正楷体_GBK" w:cs="方正楷体_GBK"/>
          <w:b w:val="0"/>
          <w:bCs w:val="0"/>
          <w:sz w:val="32"/>
          <w:szCs w:val="32"/>
          <w:shd w:val="clear" w:color="auto" w:fill="FFFFFF"/>
        </w:rPr>
        <w:t>（一）单位自评情况</w:t>
      </w:r>
    </w:p>
    <w:p>
      <w:pPr>
        <w:pStyle w:val="9"/>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560" w:lineRule="exact"/>
        <w:ind w:firstLine="640" w:firstLineChars="200"/>
        <w:jc w:val="both"/>
        <w:textAlignment w:val="auto"/>
        <w:outlineLvl w:val="9"/>
        <w:rPr>
          <w:rFonts w:hint="eastAsia" w:ascii="Times New Roman" w:hAnsi="Times New Roman" w:eastAsia="方正仿宋_GBK" w:cs="Times New Roman"/>
          <w:b w:val="0"/>
          <w:bCs w:val="0"/>
          <w:kern w:val="0"/>
          <w:sz w:val="32"/>
          <w:szCs w:val="32"/>
          <w:lang w:val="en-US" w:eastAsia="zh-CN"/>
        </w:rPr>
      </w:pPr>
      <w:r>
        <w:rPr>
          <w:rFonts w:hint="eastAsia" w:ascii="Times New Roman" w:hAnsi="Times New Roman" w:eastAsia="方正仿宋_GBK" w:cs="方正仿宋_GBK"/>
          <w:b w:val="0"/>
          <w:bCs w:val="0"/>
          <w:sz w:val="32"/>
          <w:szCs w:val="32"/>
          <w:shd w:val="clear" w:color="auto" w:fill="FFFFFF"/>
          <w:lang w:eastAsia="zh-CN"/>
        </w:rPr>
        <w:t>本单位为秀山土家族苗族自治县卫生健康委员会二级预算单位，由主管部门统一开展项目支出绩效自评。</w:t>
      </w:r>
    </w:p>
    <w:p>
      <w:pPr>
        <w:pStyle w:val="14"/>
        <w:keepNext w:val="0"/>
        <w:keepLines w:val="0"/>
        <w:pageBreakBefore w:val="0"/>
        <w:widowControl/>
        <w:kinsoku/>
        <w:wordWrap/>
        <w:overflowPunct/>
        <w:topLinePunct w:val="0"/>
        <w:autoSpaceDE w:val="0"/>
        <w:autoSpaceDN/>
        <w:bidi w:val="0"/>
        <w:adjustRightInd w:val="0"/>
        <w:snapToGrid w:val="0"/>
        <w:spacing w:beforeAutospacing="0" w:afterAutospacing="0" w:line="560" w:lineRule="exact"/>
        <w:ind w:firstLine="643"/>
        <w:textAlignment w:val="auto"/>
        <w:outlineLvl w:val="9"/>
        <w:rPr>
          <w:rFonts w:hint="default" w:ascii="方正楷体_GBK" w:hAnsi="方正楷体_GBK" w:eastAsia="方正楷体_GBK" w:cs="方正楷体_GBK"/>
          <w:b w:val="0"/>
          <w:bCs w:val="0"/>
          <w:sz w:val="32"/>
          <w:szCs w:val="32"/>
          <w:shd w:val="clear" w:color="auto" w:fill="FFFFFF"/>
        </w:rPr>
      </w:pPr>
    </w:p>
    <w:tbl>
      <w:tblPr>
        <w:tblStyle w:val="12"/>
        <w:tblpPr w:leftFromText="180" w:rightFromText="180" w:vertAnchor="text" w:horzAnchor="page" w:tblpX="2065" w:tblpY="-976"/>
        <w:tblOverlap w:val="never"/>
        <w:tblW w:w="840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505"/>
        <w:gridCol w:w="611"/>
        <w:gridCol w:w="2112"/>
        <w:gridCol w:w="629"/>
        <w:gridCol w:w="554"/>
        <w:gridCol w:w="629"/>
        <w:gridCol w:w="630"/>
        <w:gridCol w:w="705"/>
        <w:gridCol w:w="686"/>
        <w:gridCol w:w="629"/>
        <w:gridCol w:w="71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1490" w:hRule="atLeast"/>
        </w:trPr>
        <w:tc>
          <w:tcPr>
            <w:tcW w:w="8400" w:type="dxa"/>
            <w:gridSpan w:val="11"/>
            <w:shd w:val="clear" w:color="auto" w:fill="auto"/>
            <w:vAlign w:val="center"/>
          </w:tcPr>
          <w:p>
            <w:pPr>
              <w:keepNext w:val="0"/>
              <w:keepLines w:val="0"/>
              <w:widowControl/>
              <w:suppressLineNumbers w:val="0"/>
              <w:ind w:firstLine="1285" w:firstLineChars="400"/>
              <w:jc w:val="both"/>
              <w:textAlignment w:val="center"/>
              <w:rPr>
                <w:rFonts w:hint="eastAsia" w:cs="宋体"/>
                <w:b/>
                <w:bCs w:val="0"/>
                <w:i w:val="0"/>
                <w:color w:val="auto"/>
                <w:kern w:val="0"/>
                <w:sz w:val="32"/>
                <w:szCs w:val="32"/>
                <w:highlight w:val="none"/>
                <w:u w:val="none"/>
                <w:lang w:val="en-US" w:eastAsia="zh-CN" w:bidi="ar"/>
              </w:rPr>
            </w:pPr>
            <w:r>
              <w:rPr>
                <w:rFonts w:hint="eastAsia" w:cs="宋体"/>
                <w:b/>
                <w:bCs w:val="0"/>
                <w:i w:val="0"/>
                <w:color w:val="auto"/>
                <w:kern w:val="0"/>
                <w:sz w:val="32"/>
                <w:szCs w:val="32"/>
                <w:highlight w:val="none"/>
                <w:u w:val="none"/>
                <w:lang w:val="en-US" w:eastAsia="zh-CN" w:bidi="ar"/>
              </w:rPr>
              <w:t>秀山土家族苗族自治县卫生健康委员会</w:t>
            </w:r>
          </w:p>
          <w:p>
            <w:pPr>
              <w:keepNext w:val="0"/>
              <w:keepLines w:val="0"/>
              <w:widowControl/>
              <w:suppressLineNumbers w:val="0"/>
              <w:jc w:val="center"/>
              <w:textAlignment w:val="center"/>
              <w:rPr>
                <w:rFonts w:hint="eastAsia" w:ascii="宋体" w:hAnsi="宋体" w:eastAsia="宋体" w:cs="宋体"/>
                <w:b/>
                <w:i w:val="0"/>
                <w:color w:val="auto"/>
                <w:sz w:val="32"/>
                <w:szCs w:val="32"/>
                <w:highlight w:val="none"/>
                <w:u w:val="none"/>
              </w:rPr>
            </w:pPr>
            <w:r>
              <w:rPr>
                <w:rFonts w:hint="eastAsia" w:ascii="宋体" w:hAnsi="宋体" w:eastAsia="宋体" w:cs="宋体"/>
                <w:b/>
                <w:bCs w:val="0"/>
                <w:i w:val="0"/>
                <w:color w:val="auto"/>
                <w:kern w:val="0"/>
                <w:sz w:val="32"/>
                <w:szCs w:val="32"/>
                <w:highlight w:val="none"/>
                <w:u w:val="none"/>
                <w:lang w:val="en-US" w:eastAsia="zh-CN" w:bidi="ar"/>
              </w:rPr>
              <w:t>202</w:t>
            </w:r>
            <w:r>
              <w:rPr>
                <w:rFonts w:hint="eastAsia" w:cs="宋体"/>
                <w:b/>
                <w:bCs w:val="0"/>
                <w:i w:val="0"/>
                <w:color w:val="auto"/>
                <w:kern w:val="0"/>
                <w:sz w:val="32"/>
                <w:szCs w:val="32"/>
                <w:highlight w:val="none"/>
                <w:u w:val="none"/>
                <w:lang w:val="en-US" w:eastAsia="zh-CN" w:bidi="ar"/>
              </w:rPr>
              <w:t>4</w:t>
            </w:r>
            <w:r>
              <w:rPr>
                <w:rFonts w:hint="eastAsia" w:ascii="宋体" w:hAnsi="宋体" w:eastAsia="宋体" w:cs="宋体"/>
                <w:b/>
                <w:bCs w:val="0"/>
                <w:i w:val="0"/>
                <w:color w:val="auto"/>
                <w:kern w:val="0"/>
                <w:sz w:val="32"/>
                <w:szCs w:val="32"/>
                <w:highlight w:val="none"/>
                <w:u w:val="none"/>
                <w:lang w:val="en-US" w:eastAsia="zh-CN" w:bidi="ar"/>
              </w:rPr>
              <w:t>年度项目支出绩效自评情况表（</w:t>
            </w:r>
            <w:r>
              <w:rPr>
                <w:rFonts w:hint="eastAsia" w:cs="宋体"/>
                <w:b/>
                <w:bCs w:val="0"/>
                <w:i w:val="0"/>
                <w:color w:val="auto"/>
                <w:kern w:val="0"/>
                <w:sz w:val="32"/>
                <w:szCs w:val="32"/>
                <w:highlight w:val="none"/>
                <w:u w:val="none"/>
                <w:lang w:val="en-US" w:eastAsia="zh-CN" w:bidi="ar"/>
              </w:rPr>
              <w:t>二级项目</w:t>
            </w:r>
            <w:r>
              <w:rPr>
                <w:rFonts w:hint="eastAsia" w:ascii="宋体" w:hAnsi="宋体" w:eastAsia="宋体" w:cs="宋体"/>
                <w:b/>
                <w:bCs w:val="0"/>
                <w:i w:val="0"/>
                <w:color w:val="auto"/>
                <w:kern w:val="0"/>
                <w:sz w:val="32"/>
                <w:szCs w:val="32"/>
                <w:highlight w:val="none"/>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881" w:hRule="atLeast"/>
        </w:trPr>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序号</w:t>
            </w:r>
          </w:p>
        </w:tc>
        <w:tc>
          <w:tcPr>
            <w:tcW w:w="6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项目名称</w:t>
            </w:r>
          </w:p>
        </w:tc>
        <w:tc>
          <w:tcPr>
            <w:tcW w:w="21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指标名称</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指标性质</w:t>
            </w:r>
          </w:p>
        </w:tc>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指标值</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计量单位</w:t>
            </w: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指标权重</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全年完成值</w:t>
            </w:r>
          </w:p>
        </w:tc>
        <w:tc>
          <w:tcPr>
            <w:tcW w:w="6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指标得分</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说明</w:t>
            </w: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自评得分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705" w:hRule="atLeast"/>
        </w:trPr>
        <w:tc>
          <w:tcPr>
            <w:tcW w:w="50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default" w:ascii="Times New Roman" w:hAnsi="Times New Roman" w:eastAsia="方正仿宋_GBK" w:cs="Times New Roman"/>
                <w:i w:val="0"/>
                <w:color w:val="auto"/>
                <w:kern w:val="0"/>
                <w:sz w:val="24"/>
                <w:szCs w:val="24"/>
                <w:highlight w:val="none"/>
                <w:u w:val="none"/>
                <w:lang w:val="en-US" w:eastAsia="zh-CN" w:bidi="ar"/>
              </w:rPr>
              <w:t>1</w:t>
            </w:r>
          </w:p>
        </w:tc>
        <w:tc>
          <w:tcPr>
            <w:tcW w:w="61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i w:val="0"/>
                <w:color w:val="auto"/>
                <w:kern w:val="0"/>
                <w:sz w:val="24"/>
                <w:szCs w:val="24"/>
                <w:highlight w:val="none"/>
                <w:u w:val="none"/>
                <w:lang w:val="en-US" w:eastAsia="zh-CN" w:bidi="ar"/>
              </w:rPr>
              <w:t>国家基本公共卫生服务补助资金</w:t>
            </w:r>
          </w:p>
        </w:tc>
        <w:tc>
          <w:tcPr>
            <w:tcW w:w="21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sz w:val="24"/>
                <w:szCs w:val="24"/>
                <w:lang w:eastAsia="zh-CN"/>
              </w:rPr>
              <w:t>适龄儿童国家免疫规划疫苗接种</w:t>
            </w:r>
            <w:r>
              <w:rPr>
                <w:rFonts w:hint="eastAsia" w:ascii="方正仿宋_GBK" w:hAnsi="方正仿宋_GBK" w:eastAsia="方正仿宋_GBK" w:cs="方正仿宋_GBK"/>
                <w:sz w:val="24"/>
                <w:szCs w:val="24"/>
              </w:rPr>
              <w:t>率</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default" w:ascii="Times New Roman" w:hAnsi="Times New Roman" w:eastAsia="方正仿宋_GBK" w:cs="Times New Roman"/>
                <w:sz w:val="24"/>
                <w:szCs w:val="24"/>
              </w:rPr>
              <w:t>≥</w:t>
            </w:r>
          </w:p>
        </w:tc>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default" w:ascii="Times New Roman" w:hAnsi="Times New Roman" w:eastAsia="方正仿宋_GBK" w:cs="Times New Roman"/>
                <w:i w:val="0"/>
                <w:color w:val="auto"/>
                <w:kern w:val="0"/>
                <w:sz w:val="24"/>
                <w:szCs w:val="24"/>
                <w:highlight w:val="none"/>
                <w:u w:val="none"/>
                <w:lang w:val="en-US" w:eastAsia="zh-CN" w:bidi="ar"/>
              </w:rPr>
              <w:t>90</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default" w:ascii="Times New Roman" w:hAnsi="Times New Roman" w:eastAsia="方正仿宋_GBK" w:cs="Times New Roman"/>
                <w:i w:val="0"/>
                <w:color w:val="auto"/>
                <w:kern w:val="0"/>
                <w:sz w:val="24"/>
                <w:szCs w:val="24"/>
                <w:highlight w:val="none"/>
                <w:u w:val="none"/>
                <w:lang w:val="en-US" w:eastAsia="zh-CN" w:bidi="ar"/>
              </w:rPr>
              <w:t>%</w:t>
            </w: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default" w:ascii="Times New Roman" w:hAnsi="Times New Roman" w:eastAsia="方正仿宋_GBK" w:cs="Times New Roman"/>
                <w:i w:val="0"/>
                <w:color w:val="auto"/>
                <w:kern w:val="0"/>
                <w:sz w:val="24"/>
                <w:szCs w:val="24"/>
                <w:highlight w:val="none"/>
                <w:u w:val="none"/>
                <w:lang w:val="en-US" w:eastAsia="zh-CN" w:bidi="ar"/>
              </w:rPr>
              <w:t>30</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default" w:ascii="Times New Roman" w:hAnsi="Times New Roman" w:eastAsia="方正仿宋_GBK" w:cs="Times New Roman"/>
                <w:i w:val="0"/>
                <w:color w:val="auto"/>
                <w:kern w:val="0"/>
                <w:sz w:val="24"/>
                <w:szCs w:val="24"/>
                <w:highlight w:val="none"/>
                <w:u w:val="none"/>
                <w:lang w:val="en-US" w:eastAsia="zh-CN" w:bidi="ar"/>
              </w:rPr>
              <w:t>92</w:t>
            </w:r>
          </w:p>
        </w:tc>
        <w:tc>
          <w:tcPr>
            <w:tcW w:w="6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default" w:ascii="Times New Roman" w:hAnsi="Times New Roman" w:eastAsia="方正仿宋_GBK" w:cs="Times New Roman"/>
                <w:i w:val="0"/>
                <w:color w:val="auto"/>
                <w:kern w:val="0"/>
                <w:sz w:val="24"/>
                <w:szCs w:val="24"/>
                <w:highlight w:val="none"/>
                <w:u w:val="none"/>
                <w:lang w:val="en-US" w:eastAsia="zh-CN" w:bidi="ar"/>
              </w:rPr>
              <w:t>30</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default" w:ascii="Times New Roman" w:hAnsi="Times New Roman" w:eastAsia="方正仿宋_GBK" w:cs="Times New Roman"/>
                <w:i w:val="0"/>
                <w:color w:val="auto"/>
                <w:kern w:val="0"/>
                <w:sz w:val="24"/>
                <w:szCs w:val="24"/>
                <w:highlight w:val="none"/>
                <w:u w:val="none"/>
                <w:lang w:val="en-US" w:eastAsia="zh-CN" w:bidi="ar"/>
              </w:rPr>
              <w:t>90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041" w:hRule="atLeast"/>
        </w:trPr>
        <w:tc>
          <w:tcPr>
            <w:tcW w:w="5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p>
        </w:tc>
        <w:tc>
          <w:tcPr>
            <w:tcW w:w="61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p>
        </w:tc>
        <w:tc>
          <w:tcPr>
            <w:tcW w:w="21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sz w:val="24"/>
                <w:szCs w:val="24"/>
                <w:lang w:eastAsia="zh-CN"/>
              </w:rPr>
              <w:t>0-6岁儿童健康管理率</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default" w:ascii="Times New Roman" w:hAnsi="Times New Roman" w:eastAsia="方正仿宋_GBK" w:cs="Times New Roman"/>
                <w:sz w:val="24"/>
                <w:szCs w:val="24"/>
              </w:rPr>
              <w:t>≥</w:t>
            </w:r>
          </w:p>
        </w:tc>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default" w:ascii="Times New Roman" w:hAnsi="Times New Roman" w:eastAsia="方正仿宋_GBK" w:cs="Times New Roman"/>
                <w:i w:val="0"/>
                <w:color w:val="auto"/>
                <w:kern w:val="0"/>
                <w:sz w:val="24"/>
                <w:szCs w:val="24"/>
                <w:highlight w:val="none"/>
                <w:u w:val="none"/>
                <w:lang w:val="en-US" w:eastAsia="zh-CN" w:bidi="ar"/>
              </w:rPr>
              <w:t>90</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default" w:ascii="Times New Roman" w:hAnsi="Times New Roman" w:eastAsia="方正仿宋_GBK" w:cs="Times New Roman"/>
                <w:i w:val="0"/>
                <w:color w:val="auto"/>
                <w:kern w:val="0"/>
                <w:sz w:val="24"/>
                <w:szCs w:val="24"/>
                <w:highlight w:val="none"/>
                <w:u w:val="none"/>
                <w:lang w:val="en-US" w:eastAsia="zh-CN" w:bidi="ar"/>
              </w:rPr>
              <w:t>%</w:t>
            </w: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default" w:ascii="Times New Roman" w:hAnsi="Times New Roman" w:eastAsia="方正仿宋_GBK" w:cs="Times New Roman"/>
                <w:i w:val="0"/>
                <w:color w:val="auto"/>
                <w:kern w:val="0"/>
                <w:sz w:val="24"/>
                <w:szCs w:val="24"/>
                <w:highlight w:val="none"/>
                <w:u w:val="none"/>
                <w:lang w:val="en-US" w:eastAsia="zh-CN" w:bidi="ar"/>
              </w:rPr>
              <w:t>30</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default" w:ascii="Times New Roman" w:hAnsi="Times New Roman" w:eastAsia="方正仿宋_GBK" w:cs="Times New Roman"/>
                <w:i w:val="0"/>
                <w:color w:val="auto"/>
                <w:kern w:val="0"/>
                <w:sz w:val="24"/>
                <w:szCs w:val="24"/>
                <w:highlight w:val="none"/>
                <w:u w:val="none"/>
                <w:lang w:val="en-US" w:eastAsia="zh-CN" w:bidi="ar"/>
              </w:rPr>
              <w:t>91</w:t>
            </w:r>
          </w:p>
        </w:tc>
        <w:tc>
          <w:tcPr>
            <w:tcW w:w="6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default" w:ascii="Times New Roman" w:hAnsi="Times New Roman" w:eastAsia="方正仿宋_GBK" w:cs="Times New Roman"/>
                <w:i w:val="0"/>
                <w:color w:val="auto"/>
                <w:kern w:val="0"/>
                <w:sz w:val="24"/>
                <w:szCs w:val="24"/>
                <w:highlight w:val="none"/>
                <w:u w:val="none"/>
                <w:lang w:val="en-US" w:eastAsia="zh-CN" w:bidi="ar"/>
              </w:rPr>
              <w:t>30</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default" w:ascii="Times New Roman" w:hAnsi="Times New Roman" w:eastAsia="方正仿宋_GBK" w:cs="Times New Roman"/>
                <w:i w:val="0"/>
                <w:color w:val="auto"/>
                <w:kern w:val="0"/>
                <w:sz w:val="24"/>
                <w:szCs w:val="24"/>
                <w:highlight w:val="none"/>
                <w:u w:val="none"/>
                <w:lang w:val="en-US" w:eastAsia="zh-CN" w:bidi="ar"/>
              </w:rPr>
              <w:t>90</w:t>
            </w:r>
          </w:p>
        </w:tc>
      </w:tr>
    </w:tbl>
    <w:p>
      <w:pPr>
        <w:pStyle w:val="15"/>
        <w:keepNext w:val="0"/>
        <w:keepLines w:val="0"/>
        <w:pageBreakBefore w:val="0"/>
        <w:widowControl/>
        <w:numPr>
          <w:ilvl w:val="0"/>
          <w:numId w:val="1"/>
        </w:numPr>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9"/>
        <w:rPr>
          <w:rFonts w:hint="default" w:ascii="方正楷体_GBK" w:hAnsi="方正楷体_GBK" w:eastAsia="方正楷体_GBK" w:cs="方正楷体_GBK"/>
          <w:b w:val="0"/>
          <w:bCs w:val="0"/>
          <w:sz w:val="32"/>
          <w:szCs w:val="32"/>
          <w:shd w:val="clear" w:color="auto" w:fill="FFFFFF"/>
        </w:rPr>
      </w:pPr>
      <w:r>
        <w:rPr>
          <w:rFonts w:hint="default" w:ascii="方正楷体_GBK" w:hAnsi="方正楷体_GBK" w:eastAsia="方正楷体_GBK" w:cs="方正楷体_GBK"/>
          <w:b w:val="0"/>
          <w:bCs w:val="0"/>
          <w:sz w:val="32"/>
          <w:szCs w:val="32"/>
          <w:shd w:val="clear" w:color="auto" w:fill="FFFFFF"/>
        </w:rPr>
        <w:t>单位绩效评价情况</w:t>
      </w:r>
    </w:p>
    <w:p>
      <w:pPr>
        <w:pStyle w:val="15"/>
        <w:keepNext w:val="0"/>
        <w:keepLines w:val="0"/>
        <w:pageBreakBefore w:val="0"/>
        <w:widowControl/>
        <w:numPr>
          <w:numId w:val="0"/>
        </w:numPr>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9"/>
      </w:pPr>
      <w:r>
        <w:rPr>
          <w:rFonts w:hint="eastAsia" w:ascii="Times New Roman" w:hAnsi="Times New Roman" w:eastAsia="方正仿宋_GBK" w:cs="方正仿宋_GBK"/>
          <w:b w:val="0"/>
          <w:bCs w:val="0"/>
          <w:sz w:val="32"/>
          <w:szCs w:val="32"/>
          <w:shd w:val="clear" w:color="auto" w:fill="FFFFFF"/>
          <w:lang w:val="en-US" w:eastAsia="zh-CN" w:bidi="ar-SA"/>
        </w:rPr>
        <w:t>本单位</w:t>
      </w:r>
      <w:r>
        <w:rPr>
          <w:rFonts w:hint="default" w:ascii="Times New Roman" w:hAnsi="Times New Roman" w:eastAsia="方正仿宋_GBK" w:cs="方正仿宋_GBK"/>
          <w:b w:val="0"/>
          <w:bCs w:val="0"/>
          <w:sz w:val="32"/>
          <w:szCs w:val="32"/>
          <w:shd w:val="clear" w:color="auto" w:fill="FFFFFF"/>
          <w:lang w:val="en-US" w:eastAsia="zh-CN" w:bidi="ar-SA"/>
        </w:rPr>
        <w:t>未组织开展绩效评价</w:t>
      </w:r>
      <w:r>
        <w:rPr>
          <w:rFonts w:hint="eastAsia" w:ascii="Times New Roman" w:hAnsi="Times New Roman" w:eastAsia="方正仿宋_GBK" w:cs="方正仿宋_GBK"/>
          <w:b w:val="0"/>
          <w:bCs w:val="0"/>
          <w:sz w:val="32"/>
          <w:szCs w:val="32"/>
          <w:shd w:val="clear" w:color="auto" w:fill="FFFFFF"/>
          <w:lang w:val="en-US" w:eastAsia="zh-CN" w:bidi="ar-SA"/>
        </w:rPr>
        <w:t>。</w:t>
      </w:r>
    </w:p>
    <w:p>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96" w:lineRule="exact"/>
        <w:ind w:firstLine="640" w:firstLineChars="200"/>
        <w:textAlignment w:val="auto"/>
        <w:rPr>
          <w:rStyle w:val="11"/>
          <w:rFonts w:hint="default" w:ascii="方正黑体_GBK" w:hAnsi="方正黑体_GBK" w:eastAsia="方正黑体_GBK" w:cs="方正黑体_GBK"/>
          <w:b w:val="0"/>
          <w:bCs/>
          <w:sz w:val="32"/>
          <w:szCs w:val="32"/>
          <w:shd w:val="clear" w:color="auto" w:fill="FFFFFF"/>
          <w:lang w:eastAsia="zh-CN"/>
        </w:rPr>
      </w:pPr>
      <w:r>
        <w:rPr>
          <w:rStyle w:val="11"/>
          <w:rFonts w:hint="eastAsia" w:ascii="方正黑体_GBK" w:hAnsi="方正黑体_GBK" w:eastAsia="方正黑体_GBK" w:cs="方正黑体_GBK"/>
          <w:b w:val="0"/>
          <w:bCs/>
          <w:sz w:val="32"/>
          <w:szCs w:val="32"/>
          <w:shd w:val="clear" w:color="auto" w:fill="FFFFFF"/>
          <w:lang w:eastAsia="zh-CN"/>
        </w:rPr>
        <w:t>六、专业名词解释</w:t>
      </w:r>
    </w:p>
    <w:p>
      <w:pPr>
        <w:pStyle w:val="9"/>
        <w:snapToGrid w:val="0"/>
        <w:spacing w:before="0" w:beforeAutospacing="0" w:after="0" w:afterAutospacing="0" w:line="596" w:lineRule="exact"/>
        <w:ind w:firstLine="640" w:firstLineChars="200"/>
        <w:jc w:val="both"/>
        <w:rPr>
          <w:rFonts w:hint="default" w:ascii="方正仿宋_GBK" w:hAnsi="方正仿宋_GBK" w:eastAsia="方正仿宋_GBK" w:cs="方正仿宋_GBK"/>
          <w:sz w:val="32"/>
          <w:szCs w:val="32"/>
        </w:rPr>
      </w:pPr>
      <w:r>
        <w:rPr>
          <w:rFonts w:hint="default" w:ascii="方正楷体_GBK" w:hAnsi="方正楷体_GBK" w:eastAsia="方正楷体_GBK" w:cs="方正楷体_GBK"/>
          <w:b w:val="0"/>
          <w:bCs w:val="0"/>
          <w:sz w:val="32"/>
          <w:szCs w:val="32"/>
          <w:shd w:val="clear" w:color="auto" w:fill="FFFFFF"/>
          <w:lang w:val="en-US" w:eastAsia="zh-CN" w:bidi="ar-SA"/>
        </w:rPr>
        <w:t>（一）财政拨款收入：</w:t>
      </w:r>
      <w:r>
        <w:rPr>
          <w:rFonts w:ascii="方正仿宋_GBK" w:hAnsi="方正仿宋_GBK" w:eastAsia="方正仿宋_GBK" w:cs="方正仿宋_GBK"/>
          <w:sz w:val="32"/>
          <w:szCs w:val="32"/>
          <w:shd w:val="clear" w:color="auto" w:fill="FFFFFF"/>
        </w:rPr>
        <w:t>指本年度从本级财政部门取得的财政拨款。</w:t>
      </w:r>
    </w:p>
    <w:p>
      <w:pPr>
        <w:pStyle w:val="9"/>
        <w:snapToGrid w:val="0"/>
        <w:spacing w:before="0" w:beforeAutospacing="0" w:after="0" w:afterAutospacing="0" w:line="596" w:lineRule="exact"/>
        <w:ind w:firstLine="640" w:firstLineChars="200"/>
        <w:jc w:val="both"/>
        <w:rPr>
          <w:rFonts w:hint="default" w:ascii="方正仿宋_GBK" w:hAnsi="方正仿宋_GBK" w:eastAsia="方正仿宋_GBK" w:cs="方正仿宋_GBK"/>
          <w:sz w:val="32"/>
          <w:szCs w:val="32"/>
        </w:rPr>
      </w:pPr>
      <w:r>
        <w:rPr>
          <w:rFonts w:hint="default" w:ascii="方正楷体_GBK" w:hAnsi="方正楷体_GBK" w:eastAsia="方正楷体_GBK" w:cs="方正楷体_GBK"/>
          <w:b w:val="0"/>
          <w:bCs w:val="0"/>
          <w:sz w:val="32"/>
          <w:szCs w:val="32"/>
          <w:shd w:val="clear" w:color="auto" w:fill="FFFFFF"/>
          <w:lang w:val="en-US" w:eastAsia="zh-CN" w:bidi="ar-SA"/>
        </w:rPr>
        <w:t>（二）事业收入：</w:t>
      </w:r>
      <w:r>
        <w:rPr>
          <w:rFonts w:ascii="方正仿宋_GBK" w:hAnsi="方正仿宋_GBK" w:eastAsia="方正仿宋_GBK" w:cs="方正仿宋_GBK"/>
          <w:sz w:val="32"/>
          <w:szCs w:val="32"/>
          <w:shd w:val="clear" w:color="auto" w:fill="FFFFFF"/>
        </w:rPr>
        <w:t>指事业单位开展专业业务活动及其辅助活动取得的</w:t>
      </w:r>
      <w:r>
        <w:rPr>
          <w:rFonts w:hint="eastAsia" w:ascii="方正仿宋_GBK" w:hAnsi="方正仿宋_GBK" w:eastAsia="方正仿宋_GBK" w:cs="方正仿宋_GBK"/>
          <w:sz w:val="32"/>
          <w:szCs w:val="32"/>
          <w:shd w:val="clear" w:color="auto" w:fill="FFFFFF"/>
          <w:lang w:eastAsia="zh-CN"/>
        </w:rPr>
        <w:t>收入</w:t>
      </w:r>
      <w:r>
        <w:rPr>
          <w:rFonts w:ascii="方正仿宋_GBK" w:hAnsi="方正仿宋_GBK" w:eastAsia="方正仿宋_GBK" w:cs="方正仿宋_GBK"/>
          <w:sz w:val="32"/>
          <w:szCs w:val="32"/>
          <w:shd w:val="clear" w:color="auto" w:fill="FFFFFF"/>
        </w:rPr>
        <w:t>。</w:t>
      </w:r>
    </w:p>
    <w:p>
      <w:pPr>
        <w:pStyle w:val="9"/>
        <w:snapToGrid w:val="0"/>
        <w:spacing w:before="0" w:beforeAutospacing="0" w:after="0" w:afterAutospacing="0" w:line="596" w:lineRule="exact"/>
        <w:ind w:firstLine="640" w:firstLineChars="200"/>
        <w:jc w:val="both"/>
        <w:rPr>
          <w:rFonts w:hint="default" w:ascii="方正仿宋_GBK" w:hAnsi="方正仿宋_GBK" w:eastAsia="方正仿宋_GBK" w:cs="方正仿宋_GBK"/>
          <w:sz w:val="32"/>
          <w:szCs w:val="32"/>
        </w:rPr>
      </w:pPr>
      <w:r>
        <w:rPr>
          <w:rFonts w:hint="default" w:ascii="方正楷体_GBK" w:hAnsi="方正楷体_GBK" w:eastAsia="方正楷体_GBK" w:cs="方正楷体_GBK"/>
          <w:b w:val="0"/>
          <w:bCs w:val="0"/>
          <w:sz w:val="32"/>
          <w:szCs w:val="32"/>
          <w:shd w:val="clear" w:color="auto" w:fill="FFFFFF"/>
          <w:lang w:val="en-US" w:eastAsia="zh-CN" w:bidi="ar-SA"/>
        </w:rPr>
        <w:t>（三）经营收入：</w:t>
      </w:r>
      <w:r>
        <w:rPr>
          <w:rFonts w:ascii="方正仿宋_GBK" w:hAnsi="方正仿宋_GBK" w:eastAsia="方正仿宋_GBK" w:cs="方正仿宋_GBK"/>
          <w:sz w:val="32"/>
          <w:szCs w:val="32"/>
          <w:shd w:val="clear" w:color="auto" w:fill="FFFFFF"/>
        </w:rPr>
        <w:t>指事业单位在专业业务活动及其辅助活动之外开展非独立核算经营活动取得的</w:t>
      </w:r>
      <w:r>
        <w:rPr>
          <w:rFonts w:hint="eastAsia" w:ascii="方正仿宋_GBK" w:hAnsi="方正仿宋_GBK" w:eastAsia="方正仿宋_GBK" w:cs="方正仿宋_GBK"/>
          <w:sz w:val="32"/>
          <w:szCs w:val="32"/>
          <w:shd w:val="clear" w:color="auto" w:fill="FFFFFF"/>
          <w:lang w:eastAsia="zh-CN"/>
        </w:rPr>
        <w:t>收入</w:t>
      </w:r>
      <w:r>
        <w:rPr>
          <w:rFonts w:ascii="方正仿宋_GBK" w:hAnsi="方正仿宋_GBK" w:eastAsia="方正仿宋_GBK" w:cs="方正仿宋_GBK"/>
          <w:sz w:val="32"/>
          <w:szCs w:val="32"/>
          <w:shd w:val="clear" w:color="auto" w:fill="FFFFFF"/>
        </w:rPr>
        <w:t>。</w:t>
      </w:r>
    </w:p>
    <w:p>
      <w:pPr>
        <w:pStyle w:val="9"/>
        <w:snapToGrid w:val="0"/>
        <w:spacing w:before="0" w:beforeAutospacing="0" w:after="0" w:afterAutospacing="0" w:line="596" w:lineRule="exact"/>
        <w:ind w:firstLine="640" w:firstLineChars="200"/>
        <w:jc w:val="both"/>
        <w:rPr>
          <w:rFonts w:hint="default" w:ascii="方正仿宋_GBK" w:hAnsi="方正仿宋_GBK" w:eastAsia="方正仿宋_GBK" w:cs="方正仿宋_GBK"/>
          <w:sz w:val="32"/>
          <w:szCs w:val="32"/>
        </w:rPr>
      </w:pPr>
      <w:r>
        <w:rPr>
          <w:rFonts w:hint="default" w:ascii="方正楷体_GBK" w:hAnsi="方正楷体_GBK" w:eastAsia="方正楷体_GBK" w:cs="方正楷体_GBK"/>
          <w:b w:val="0"/>
          <w:bCs w:val="0"/>
          <w:sz w:val="32"/>
          <w:szCs w:val="32"/>
          <w:shd w:val="clear" w:color="auto" w:fill="FFFFFF"/>
          <w:lang w:val="en-US" w:eastAsia="zh-CN" w:bidi="ar-SA"/>
        </w:rPr>
        <w:t>（四）其他收入：</w:t>
      </w:r>
      <w:r>
        <w:rPr>
          <w:rFonts w:ascii="方正仿宋_GBK" w:hAnsi="方正仿宋_GBK" w:eastAsia="方正仿宋_GBK" w:cs="方正仿宋_GBK"/>
          <w:sz w:val="32"/>
          <w:szCs w:val="32"/>
          <w:shd w:val="clear" w:color="auto" w:fill="FFFFFF"/>
        </w:rPr>
        <w:t>指单位取得的除“财政拨款收入”、“事业收入”、“经营收入”等以外的收入，包括未纳入财政预算或财政专户管理的投资收益、银行存款利息收入、租金收入、捐赠收入，现金盘盈收入、存货盘盈收入、收回已核销的应收及预付款项、无法偿付的应付及预收款项等。各单位从本级财政部门以外的同级单位取得的经费、从非本级财政部门取得的经费，以及行政单位收到的财政专户管理资金反映在本项内。</w:t>
      </w:r>
    </w:p>
    <w:p>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96" w:lineRule="exact"/>
        <w:ind w:firstLine="640" w:firstLineChars="200"/>
        <w:jc w:val="both"/>
        <w:textAlignment w:val="auto"/>
        <w:rPr>
          <w:rFonts w:hint="default" w:ascii="方正仿宋_GBK" w:hAnsi="方正仿宋_GBK" w:eastAsia="方正仿宋_GBK" w:cs="方正仿宋_GBK"/>
          <w:sz w:val="32"/>
          <w:szCs w:val="32"/>
        </w:rPr>
      </w:pPr>
      <w:r>
        <w:rPr>
          <w:rFonts w:hint="default" w:ascii="方正楷体_GBK" w:hAnsi="方正楷体_GBK" w:eastAsia="方正楷体_GBK" w:cs="方正楷体_GBK"/>
          <w:b w:val="0"/>
          <w:bCs w:val="0"/>
          <w:sz w:val="32"/>
          <w:szCs w:val="32"/>
          <w:shd w:val="clear" w:color="auto" w:fill="FFFFFF"/>
          <w:lang w:val="en-US" w:eastAsia="zh-CN" w:bidi="ar-SA"/>
        </w:rPr>
        <w:t>（五）使用非财政拨款结余</w:t>
      </w:r>
      <w:r>
        <w:rPr>
          <w:rFonts w:hint="eastAsia" w:ascii="方正楷体_GBK" w:hAnsi="方正楷体_GBK" w:eastAsia="方正楷体_GBK" w:cs="方正楷体_GBK"/>
          <w:b w:val="0"/>
          <w:bCs w:val="0"/>
          <w:sz w:val="32"/>
          <w:szCs w:val="32"/>
          <w:shd w:val="clear" w:color="auto" w:fill="FFFFFF"/>
          <w:lang w:val="en-US" w:eastAsia="zh-CN" w:bidi="ar-SA"/>
        </w:rPr>
        <w:t>（含专用结余）</w:t>
      </w:r>
      <w:r>
        <w:rPr>
          <w:rFonts w:hint="default" w:ascii="方正楷体_GBK" w:hAnsi="方正楷体_GBK" w:eastAsia="方正楷体_GBK" w:cs="方正楷体_GBK"/>
          <w:b w:val="0"/>
          <w:bCs w:val="0"/>
          <w:sz w:val="32"/>
          <w:szCs w:val="32"/>
          <w:shd w:val="clear" w:color="auto" w:fill="FFFFFF"/>
          <w:lang w:val="en-US" w:eastAsia="zh-CN" w:bidi="ar-SA"/>
        </w:rPr>
        <w:t>：</w:t>
      </w:r>
      <w:r>
        <w:rPr>
          <w:rFonts w:ascii="方正仿宋_GBK" w:hAnsi="方正仿宋_GBK" w:eastAsia="方正仿宋_GBK" w:cs="方正仿宋_GBK"/>
          <w:sz w:val="32"/>
          <w:szCs w:val="32"/>
          <w:shd w:val="clear" w:color="auto" w:fill="FFFFFF"/>
        </w:rPr>
        <w:t>指</w:t>
      </w:r>
      <w:r>
        <w:rPr>
          <w:rFonts w:hint="eastAsia" w:ascii="方正仿宋_GBK" w:hAnsi="方正仿宋_GBK" w:eastAsia="方正仿宋_GBK" w:cs="方正仿宋_GBK"/>
          <w:sz w:val="32"/>
          <w:szCs w:val="32"/>
          <w:shd w:val="clear" w:color="auto" w:fill="FFFFFF"/>
          <w:lang w:eastAsia="zh-CN"/>
        </w:rPr>
        <w:t>事业单位按照预算管理要求使用非财政拨款结余弥补收支差额的金额，以及使用专用结余安排支出的金额。</w:t>
      </w:r>
    </w:p>
    <w:p>
      <w:pPr>
        <w:pStyle w:val="9"/>
        <w:snapToGrid w:val="0"/>
        <w:spacing w:before="0" w:beforeAutospacing="0" w:after="0" w:afterAutospacing="0" w:line="596" w:lineRule="exact"/>
        <w:ind w:firstLine="640" w:firstLineChars="200"/>
        <w:jc w:val="both"/>
        <w:rPr>
          <w:rFonts w:hint="default" w:ascii="方正仿宋_GBK" w:hAnsi="方正仿宋_GBK" w:eastAsia="方正仿宋_GBK" w:cs="方正仿宋_GBK"/>
          <w:sz w:val="32"/>
          <w:szCs w:val="32"/>
        </w:rPr>
      </w:pPr>
      <w:r>
        <w:rPr>
          <w:rFonts w:hint="default" w:ascii="方正楷体_GBK" w:hAnsi="方正楷体_GBK" w:eastAsia="方正楷体_GBK" w:cs="方正楷体_GBK"/>
          <w:b w:val="0"/>
          <w:bCs w:val="0"/>
          <w:sz w:val="32"/>
          <w:szCs w:val="32"/>
          <w:shd w:val="clear" w:color="auto" w:fill="FFFFFF"/>
          <w:lang w:val="en-US" w:eastAsia="zh-CN" w:bidi="ar-SA"/>
        </w:rPr>
        <w:t>（六）年初结转和结余：</w:t>
      </w:r>
      <w:r>
        <w:rPr>
          <w:rFonts w:ascii="方正仿宋_GBK" w:hAnsi="方正仿宋_GBK" w:eastAsia="方正仿宋_GBK" w:cs="方正仿宋_GBK"/>
          <w:sz w:val="32"/>
          <w:szCs w:val="32"/>
          <w:shd w:val="clear" w:color="auto" w:fill="FFFFFF"/>
        </w:rPr>
        <w:t>指单位上年结转本年使用的基本支出结转、项目支出结转和结余、经营结余。</w:t>
      </w:r>
    </w:p>
    <w:p>
      <w:pPr>
        <w:pStyle w:val="9"/>
        <w:snapToGrid w:val="0"/>
        <w:spacing w:before="0" w:beforeAutospacing="0" w:after="0" w:afterAutospacing="0" w:line="596" w:lineRule="exact"/>
        <w:ind w:firstLine="640" w:firstLineChars="200"/>
        <w:jc w:val="both"/>
        <w:rPr>
          <w:rFonts w:hint="default" w:ascii="方正仿宋_GBK" w:hAnsi="方正仿宋_GBK" w:eastAsia="方正仿宋_GBK" w:cs="方正仿宋_GBK"/>
          <w:sz w:val="32"/>
          <w:szCs w:val="32"/>
        </w:rPr>
      </w:pPr>
      <w:r>
        <w:rPr>
          <w:rFonts w:hint="default" w:ascii="方正楷体_GBK" w:hAnsi="方正楷体_GBK" w:eastAsia="方正楷体_GBK" w:cs="方正楷体_GBK"/>
          <w:b w:val="0"/>
          <w:bCs w:val="0"/>
          <w:sz w:val="32"/>
          <w:szCs w:val="32"/>
          <w:shd w:val="clear" w:color="auto" w:fill="FFFFFF"/>
          <w:lang w:val="en-US" w:eastAsia="zh-CN" w:bidi="ar-SA"/>
        </w:rPr>
        <w:t>（七）结余分配：</w:t>
      </w:r>
      <w:r>
        <w:rPr>
          <w:rFonts w:ascii="方正仿宋_GBK" w:hAnsi="方正仿宋_GBK" w:eastAsia="方正仿宋_GBK" w:cs="方正仿宋_GBK"/>
          <w:sz w:val="32"/>
          <w:szCs w:val="32"/>
          <w:shd w:val="clear" w:color="auto" w:fill="FFFFFF"/>
        </w:rPr>
        <w:t>指单位按照国家有关规定，缴纳所得税、提取专用基金、转入非财政拨款结余等当年结余的分配情况。</w:t>
      </w:r>
    </w:p>
    <w:p>
      <w:pPr>
        <w:pStyle w:val="9"/>
        <w:snapToGrid w:val="0"/>
        <w:spacing w:before="0" w:beforeAutospacing="0" w:after="0" w:afterAutospacing="0" w:line="596" w:lineRule="exact"/>
        <w:ind w:firstLine="640" w:firstLineChars="200"/>
        <w:jc w:val="both"/>
        <w:rPr>
          <w:rFonts w:hint="default" w:ascii="方正仿宋_GBK" w:hAnsi="方正仿宋_GBK" w:eastAsia="方正仿宋_GBK" w:cs="方正仿宋_GBK"/>
          <w:sz w:val="32"/>
          <w:szCs w:val="32"/>
        </w:rPr>
      </w:pPr>
      <w:r>
        <w:rPr>
          <w:rFonts w:hint="default" w:ascii="方正楷体_GBK" w:hAnsi="方正楷体_GBK" w:eastAsia="方正楷体_GBK" w:cs="方正楷体_GBK"/>
          <w:b w:val="0"/>
          <w:bCs w:val="0"/>
          <w:sz w:val="32"/>
          <w:szCs w:val="32"/>
          <w:shd w:val="clear" w:color="auto" w:fill="FFFFFF"/>
          <w:lang w:val="en-US" w:eastAsia="zh-CN" w:bidi="ar-SA"/>
        </w:rPr>
        <w:t>（八）年末结转和结余：</w:t>
      </w:r>
      <w:r>
        <w:rPr>
          <w:rFonts w:ascii="方正仿宋_GBK" w:hAnsi="方正仿宋_GBK" w:eastAsia="方正仿宋_GBK" w:cs="方正仿宋_GBK"/>
          <w:sz w:val="32"/>
          <w:szCs w:val="32"/>
          <w:shd w:val="clear" w:color="auto" w:fill="FFFFFF"/>
        </w:rPr>
        <w:t>指单位结转下年的基本支出结转、项目支出结转和结余、经营结余。</w:t>
      </w:r>
    </w:p>
    <w:p>
      <w:pPr>
        <w:pStyle w:val="9"/>
        <w:snapToGrid w:val="0"/>
        <w:spacing w:before="0" w:beforeAutospacing="0" w:after="0" w:afterAutospacing="0" w:line="596" w:lineRule="exact"/>
        <w:ind w:firstLine="640" w:firstLineChars="200"/>
        <w:jc w:val="both"/>
        <w:rPr>
          <w:rFonts w:hint="default" w:ascii="方正仿宋_GBK" w:hAnsi="方正仿宋_GBK" w:eastAsia="方正仿宋_GBK" w:cs="方正仿宋_GBK"/>
          <w:sz w:val="32"/>
          <w:szCs w:val="32"/>
        </w:rPr>
      </w:pPr>
      <w:r>
        <w:rPr>
          <w:rFonts w:hint="default" w:ascii="方正楷体_GBK" w:hAnsi="方正楷体_GBK" w:eastAsia="方正楷体_GBK" w:cs="方正楷体_GBK"/>
          <w:b w:val="0"/>
          <w:bCs w:val="0"/>
          <w:sz w:val="32"/>
          <w:szCs w:val="32"/>
          <w:shd w:val="clear" w:color="auto" w:fill="FFFFFF"/>
          <w:lang w:val="en-US" w:eastAsia="zh-CN" w:bidi="ar-SA"/>
        </w:rPr>
        <w:t>（九）基本支出：</w:t>
      </w:r>
      <w:r>
        <w:rPr>
          <w:rFonts w:ascii="方正仿宋_GBK" w:hAnsi="方正仿宋_GBK" w:eastAsia="方正仿宋_GBK" w:cs="方正仿宋_GBK"/>
          <w:sz w:val="32"/>
          <w:szCs w:val="32"/>
          <w:shd w:val="clear" w:color="auto" w:fill="FFFFFF"/>
        </w:rPr>
        <w:t>指为保障机构正常运转、完成日常工作任务而发生的人员经费和公用经费。其中：人员经费指政府收支分类经济科目中的“工资福利支出”和“对个人和家庭的补助”；公用经费指政府收支分类经济科目中除“工资福利支出”和“对个人和家庭的补助”外的其他支出。</w:t>
      </w:r>
    </w:p>
    <w:p>
      <w:pPr>
        <w:pStyle w:val="9"/>
        <w:snapToGrid w:val="0"/>
        <w:spacing w:before="0" w:beforeAutospacing="0" w:after="0" w:afterAutospacing="0" w:line="596" w:lineRule="exact"/>
        <w:ind w:firstLine="640" w:firstLineChars="200"/>
        <w:jc w:val="both"/>
        <w:rPr>
          <w:rFonts w:hint="default" w:ascii="方正仿宋_GBK" w:hAnsi="方正仿宋_GBK" w:eastAsia="方正仿宋_GBK" w:cs="方正仿宋_GBK"/>
          <w:sz w:val="32"/>
          <w:szCs w:val="32"/>
        </w:rPr>
      </w:pPr>
      <w:r>
        <w:rPr>
          <w:rFonts w:hint="default" w:ascii="方正楷体_GBK" w:hAnsi="方正楷体_GBK" w:eastAsia="方正楷体_GBK" w:cs="方正楷体_GBK"/>
          <w:b w:val="0"/>
          <w:bCs w:val="0"/>
          <w:sz w:val="32"/>
          <w:szCs w:val="32"/>
          <w:shd w:val="clear" w:color="auto" w:fill="FFFFFF"/>
          <w:lang w:val="en-US" w:eastAsia="zh-CN" w:bidi="ar-SA"/>
        </w:rPr>
        <w:t>（十）项目支出：</w:t>
      </w:r>
      <w:r>
        <w:rPr>
          <w:rFonts w:ascii="方正仿宋_GBK" w:hAnsi="方正仿宋_GBK" w:eastAsia="方正仿宋_GBK" w:cs="方正仿宋_GBK"/>
          <w:sz w:val="32"/>
          <w:szCs w:val="32"/>
          <w:shd w:val="clear" w:color="auto" w:fill="FFFFFF"/>
        </w:rPr>
        <w:t>指在基本支出之外为完成特定行政任务和事业发展目标所发生的支出。</w:t>
      </w:r>
    </w:p>
    <w:p>
      <w:pPr>
        <w:pStyle w:val="9"/>
        <w:snapToGrid w:val="0"/>
        <w:spacing w:before="0" w:beforeAutospacing="0" w:after="0" w:afterAutospacing="0" w:line="596" w:lineRule="exact"/>
        <w:ind w:firstLine="640" w:firstLineChars="200"/>
        <w:jc w:val="both"/>
        <w:rPr>
          <w:rFonts w:hint="default" w:ascii="方正仿宋_GBK" w:hAnsi="方正仿宋_GBK" w:eastAsia="方正仿宋_GBK" w:cs="方正仿宋_GBK"/>
          <w:sz w:val="32"/>
          <w:szCs w:val="32"/>
        </w:rPr>
      </w:pPr>
      <w:r>
        <w:rPr>
          <w:rFonts w:hint="default" w:ascii="方正楷体_GBK" w:hAnsi="方正楷体_GBK" w:eastAsia="方正楷体_GBK" w:cs="方正楷体_GBK"/>
          <w:b w:val="0"/>
          <w:bCs w:val="0"/>
          <w:sz w:val="32"/>
          <w:szCs w:val="32"/>
          <w:shd w:val="clear" w:color="auto" w:fill="FFFFFF"/>
          <w:lang w:val="en-US" w:eastAsia="zh-CN" w:bidi="ar-SA"/>
        </w:rPr>
        <w:t>（十一）经营支出：</w:t>
      </w:r>
      <w:r>
        <w:rPr>
          <w:rFonts w:ascii="方正仿宋_GBK" w:hAnsi="方正仿宋_GBK" w:eastAsia="方正仿宋_GBK" w:cs="方正仿宋_GBK"/>
          <w:sz w:val="32"/>
          <w:szCs w:val="32"/>
          <w:shd w:val="clear" w:color="auto" w:fill="FFFFFF"/>
        </w:rPr>
        <w:t>指事业单位在专业业务活动及其辅助活动之外开展非独立核算经营活动发生的支出。</w:t>
      </w:r>
    </w:p>
    <w:p>
      <w:pPr>
        <w:pStyle w:val="9"/>
        <w:snapToGrid w:val="0"/>
        <w:spacing w:before="0" w:beforeAutospacing="0" w:after="0" w:afterAutospacing="0" w:line="596" w:lineRule="exact"/>
        <w:ind w:firstLine="640" w:firstLineChars="200"/>
        <w:jc w:val="both"/>
        <w:rPr>
          <w:rFonts w:hint="default" w:ascii="方正仿宋_GBK" w:hAnsi="方正仿宋_GBK" w:eastAsia="方正仿宋_GBK" w:cs="方正仿宋_GBK"/>
          <w:sz w:val="32"/>
          <w:szCs w:val="32"/>
        </w:rPr>
      </w:pPr>
      <w:r>
        <w:rPr>
          <w:rFonts w:hint="default" w:ascii="方正楷体_GBK" w:hAnsi="方正楷体_GBK" w:eastAsia="方正楷体_GBK" w:cs="方正楷体_GBK"/>
          <w:b w:val="0"/>
          <w:bCs w:val="0"/>
          <w:sz w:val="32"/>
          <w:szCs w:val="32"/>
          <w:shd w:val="clear" w:color="auto" w:fill="FFFFFF"/>
          <w:lang w:val="en-US" w:eastAsia="zh-CN" w:bidi="ar-SA"/>
        </w:rPr>
        <w:t>（十二）“三公”经费：</w:t>
      </w:r>
      <w:r>
        <w:rPr>
          <w:rFonts w:ascii="方正仿宋_GBK" w:hAnsi="方正仿宋_GBK" w:eastAsia="方正仿宋_GBK" w:cs="方正仿宋_GBK"/>
          <w:sz w:val="32"/>
          <w:szCs w:val="32"/>
          <w:shd w:val="clear" w:color="auto" w:fill="FFFFFF"/>
        </w:rPr>
        <w:t>指用财政拨款安排的因公出国（境）费、公务用车购置及运行维护费、公务接待费。其中，因公出国（境）费反映单位公务出国（境）的国际旅费、国外城市间交通费、住宿费、伙食费、培训费、公杂费等支出；公务用车购置费反映单位公务用车购置支出（含车辆购置税）；公务用车运行维护费反映单位按规定保留的公务用车燃料费、维修费、过路过桥费、保险费、安全奖励费用等支出；公务接待费反映单位按规定开支的各类公务接待（含外宾接待）支出。</w:t>
      </w:r>
    </w:p>
    <w:p>
      <w:pPr>
        <w:pStyle w:val="9"/>
        <w:snapToGrid w:val="0"/>
        <w:spacing w:before="0" w:beforeAutospacing="0" w:after="0" w:afterAutospacing="0" w:line="596" w:lineRule="exact"/>
        <w:ind w:firstLine="640" w:firstLineChars="200"/>
        <w:jc w:val="both"/>
        <w:rPr>
          <w:rFonts w:hint="default" w:ascii="方正仿宋_GBK" w:hAnsi="方正仿宋_GBK" w:eastAsia="方正仿宋_GBK" w:cs="方正仿宋_GBK"/>
          <w:sz w:val="32"/>
          <w:szCs w:val="32"/>
        </w:rPr>
      </w:pPr>
      <w:r>
        <w:rPr>
          <w:rFonts w:hint="default" w:ascii="方正楷体_GBK" w:hAnsi="方正楷体_GBK" w:eastAsia="方正楷体_GBK" w:cs="方正楷体_GBK"/>
          <w:b w:val="0"/>
          <w:bCs w:val="0"/>
          <w:sz w:val="32"/>
          <w:szCs w:val="32"/>
          <w:shd w:val="clear" w:color="auto" w:fill="FFFFFF"/>
          <w:lang w:val="en-US" w:eastAsia="zh-CN" w:bidi="ar-SA"/>
        </w:rPr>
        <w:t>（十三）机关运行经费：</w:t>
      </w:r>
      <w:r>
        <w:rPr>
          <w:rFonts w:ascii="方正仿宋_GBK" w:hAnsi="方正仿宋_GBK" w:eastAsia="方正仿宋_GBK" w:cs="方正仿宋_GBK"/>
          <w:sz w:val="32"/>
          <w:szCs w:val="32"/>
          <w:shd w:val="clear" w:color="auto" w:fill="FFFFFF"/>
        </w:rPr>
        <w:t>为保障行政单位（含参照公务员法管理的事业单位）运行用于购买货物和服务等的各项公用经费，包括办公及印刷费、邮电费、差旅费、会议费、福利费、日常维护费、专用材料及一般设备购置费、办公用房水电费、办公用房取暖费、办公用房物业管理费、公务用车运行维护费以及其他费用。</w:t>
      </w:r>
    </w:p>
    <w:p>
      <w:pPr>
        <w:pStyle w:val="9"/>
        <w:snapToGrid w:val="0"/>
        <w:spacing w:before="0" w:beforeAutospacing="0" w:after="0" w:afterAutospacing="0" w:line="596" w:lineRule="exact"/>
        <w:ind w:firstLine="640" w:firstLineChars="200"/>
        <w:jc w:val="both"/>
        <w:rPr>
          <w:rFonts w:hint="default" w:ascii="方正仿宋_GBK" w:hAnsi="方正仿宋_GBK" w:eastAsia="方正仿宋_GBK" w:cs="方正仿宋_GBK"/>
          <w:sz w:val="32"/>
          <w:szCs w:val="32"/>
        </w:rPr>
      </w:pPr>
      <w:r>
        <w:rPr>
          <w:rFonts w:hint="default" w:ascii="方正楷体_GBK" w:hAnsi="方正楷体_GBK" w:eastAsia="方正楷体_GBK" w:cs="方正楷体_GBK"/>
          <w:b w:val="0"/>
          <w:bCs w:val="0"/>
          <w:sz w:val="32"/>
          <w:szCs w:val="32"/>
          <w:shd w:val="clear" w:color="auto" w:fill="FFFFFF"/>
          <w:lang w:val="en-US" w:eastAsia="zh-CN" w:bidi="ar-SA"/>
        </w:rPr>
        <w:t>（十四）工资福利支出（支出经济分类科目类级）：</w:t>
      </w:r>
      <w:r>
        <w:rPr>
          <w:rFonts w:ascii="方正仿宋_GBK" w:hAnsi="方正仿宋_GBK" w:eastAsia="方正仿宋_GBK" w:cs="方正仿宋_GBK"/>
          <w:sz w:val="32"/>
          <w:szCs w:val="32"/>
          <w:shd w:val="clear" w:color="auto" w:fill="FFFFFF"/>
        </w:rPr>
        <w:t>反映单位开支的在职职工和编制外长期聘用人员的各类劳动报酬，以及为上述人员缴纳的各项社会保险费等。</w:t>
      </w:r>
    </w:p>
    <w:p>
      <w:pPr>
        <w:pStyle w:val="9"/>
        <w:snapToGrid w:val="0"/>
        <w:spacing w:before="0" w:beforeAutospacing="0" w:after="0" w:afterAutospacing="0" w:line="596" w:lineRule="exact"/>
        <w:ind w:firstLine="640" w:firstLineChars="200"/>
        <w:jc w:val="both"/>
        <w:rPr>
          <w:rFonts w:hint="default" w:ascii="方正仿宋_GBK" w:hAnsi="方正仿宋_GBK" w:eastAsia="方正仿宋_GBK" w:cs="方正仿宋_GBK"/>
          <w:sz w:val="32"/>
          <w:szCs w:val="32"/>
        </w:rPr>
      </w:pPr>
      <w:r>
        <w:rPr>
          <w:rFonts w:hint="default" w:ascii="方正楷体_GBK" w:hAnsi="方正楷体_GBK" w:eastAsia="方正楷体_GBK" w:cs="方正楷体_GBK"/>
          <w:b w:val="0"/>
          <w:bCs w:val="0"/>
          <w:sz w:val="32"/>
          <w:szCs w:val="32"/>
          <w:shd w:val="clear" w:color="auto" w:fill="FFFFFF"/>
          <w:lang w:val="en-US" w:eastAsia="zh-CN" w:bidi="ar-SA"/>
        </w:rPr>
        <w:t>（十五）商品和服务支出（支出经济分类科目类级）：</w:t>
      </w:r>
      <w:r>
        <w:rPr>
          <w:rFonts w:ascii="方正仿宋_GBK" w:hAnsi="方正仿宋_GBK" w:eastAsia="方正仿宋_GBK" w:cs="方正仿宋_GBK"/>
          <w:sz w:val="32"/>
          <w:szCs w:val="32"/>
          <w:shd w:val="clear" w:color="auto" w:fill="FFFFFF"/>
        </w:rPr>
        <w:t>反映单位购买商品和服务的支出（不包括用于购置固定资产的支出、战略性和应急储备支出）。</w:t>
      </w:r>
    </w:p>
    <w:p>
      <w:pPr>
        <w:pStyle w:val="9"/>
        <w:snapToGrid w:val="0"/>
        <w:spacing w:before="0" w:beforeAutospacing="0" w:after="0" w:afterAutospacing="0" w:line="596" w:lineRule="exact"/>
        <w:ind w:firstLine="640" w:firstLineChars="200"/>
        <w:jc w:val="both"/>
        <w:rPr>
          <w:rFonts w:hint="default" w:ascii="方正仿宋_GBK" w:hAnsi="方正仿宋_GBK" w:eastAsia="方正仿宋_GBK" w:cs="方正仿宋_GBK"/>
          <w:sz w:val="32"/>
          <w:szCs w:val="32"/>
        </w:rPr>
      </w:pPr>
      <w:r>
        <w:rPr>
          <w:rFonts w:hint="default" w:ascii="方正楷体_GBK" w:hAnsi="方正楷体_GBK" w:eastAsia="方正楷体_GBK" w:cs="方正楷体_GBK"/>
          <w:b w:val="0"/>
          <w:bCs w:val="0"/>
          <w:sz w:val="32"/>
          <w:szCs w:val="32"/>
          <w:shd w:val="clear" w:color="auto" w:fill="FFFFFF"/>
          <w:lang w:val="en-US" w:eastAsia="zh-CN" w:bidi="ar-SA"/>
        </w:rPr>
        <w:t>（十六）对个人和家庭的补助（支出经济分类科目类级）：</w:t>
      </w:r>
      <w:r>
        <w:rPr>
          <w:rFonts w:ascii="方正仿宋_GBK" w:hAnsi="方正仿宋_GBK" w:eastAsia="方正仿宋_GBK" w:cs="方正仿宋_GBK"/>
          <w:sz w:val="32"/>
          <w:szCs w:val="32"/>
          <w:shd w:val="clear" w:color="auto" w:fill="FFFFFF"/>
        </w:rPr>
        <w:t>反映用于对个人和家庭的补助支出。</w:t>
      </w:r>
    </w:p>
    <w:p>
      <w:pPr>
        <w:pStyle w:val="9"/>
        <w:snapToGrid w:val="0"/>
        <w:spacing w:before="0" w:beforeAutospacing="0" w:after="0" w:afterAutospacing="0" w:line="596" w:lineRule="exact"/>
        <w:ind w:firstLine="640" w:firstLineChars="200"/>
        <w:jc w:val="both"/>
        <w:rPr>
          <w:rFonts w:hint="default" w:ascii="方正仿宋_GBK" w:hAnsi="方正仿宋_GBK" w:eastAsia="方正仿宋_GBK" w:cs="方正仿宋_GBK"/>
          <w:sz w:val="32"/>
          <w:szCs w:val="32"/>
          <w:shd w:val="clear" w:color="auto" w:fill="FFFFFF"/>
        </w:rPr>
      </w:pPr>
      <w:r>
        <w:rPr>
          <w:rFonts w:hint="default" w:ascii="方正楷体_GBK" w:hAnsi="方正楷体_GBK" w:eastAsia="方正楷体_GBK" w:cs="方正楷体_GBK"/>
          <w:b w:val="0"/>
          <w:bCs w:val="0"/>
          <w:sz w:val="32"/>
          <w:szCs w:val="32"/>
          <w:shd w:val="clear" w:color="auto" w:fill="FFFFFF"/>
          <w:lang w:val="en-US" w:eastAsia="zh-CN" w:bidi="ar-SA"/>
        </w:rPr>
        <w:t>（十七）其他资本性支出（支出经济分类科目类级）：</w:t>
      </w:r>
      <w:r>
        <w:rPr>
          <w:rFonts w:ascii="方正仿宋_GBK" w:hAnsi="方正仿宋_GBK" w:eastAsia="方正仿宋_GBK" w:cs="方正仿宋_GBK"/>
          <w:sz w:val="32"/>
          <w:szCs w:val="32"/>
          <w:shd w:val="clear" w:color="auto" w:fill="FFFFFF"/>
        </w:rPr>
        <w:t>反映非各级发展与改革部门集中安排的用于购置固定资产、战略性和应急性储备、土地和无形资产，以及构建基础设施、大型修缮和财政支持企业更新改造所发生的支出。</w:t>
      </w:r>
    </w:p>
    <w:p>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96" w:lineRule="exact"/>
        <w:ind w:firstLine="640" w:firstLineChars="200"/>
        <w:textAlignment w:val="auto"/>
        <w:rPr>
          <w:rStyle w:val="11"/>
          <w:rFonts w:hint="eastAsia" w:ascii="方正黑体_GBK" w:hAnsi="方正黑体_GBK" w:eastAsia="方正黑体_GBK" w:cs="方正黑体_GBK"/>
          <w:b w:val="0"/>
          <w:bCs/>
          <w:sz w:val="32"/>
          <w:szCs w:val="32"/>
          <w:shd w:val="clear" w:color="auto" w:fill="FFFFFF"/>
        </w:rPr>
      </w:pPr>
      <w:r>
        <w:rPr>
          <w:rStyle w:val="11"/>
          <w:rFonts w:hint="eastAsia" w:ascii="方正黑体_GBK" w:hAnsi="方正黑体_GBK" w:eastAsia="方正黑体_GBK" w:cs="方正黑体_GBK"/>
          <w:b w:val="0"/>
          <w:bCs/>
          <w:sz w:val="32"/>
          <w:szCs w:val="32"/>
          <w:shd w:val="clear" w:color="auto" w:fill="FFFFFF"/>
          <w:lang w:eastAsia="zh-CN"/>
        </w:rPr>
        <w:t>七</w:t>
      </w:r>
      <w:r>
        <w:rPr>
          <w:rStyle w:val="11"/>
          <w:rFonts w:hint="eastAsia" w:ascii="方正黑体_GBK" w:hAnsi="方正黑体_GBK" w:eastAsia="方正黑体_GBK" w:cs="方正黑体_GBK"/>
          <w:b w:val="0"/>
          <w:bCs/>
          <w:sz w:val="32"/>
          <w:szCs w:val="32"/>
          <w:shd w:val="clear" w:color="auto" w:fill="FFFFFF"/>
        </w:rPr>
        <w:t>、决算公开联系方式及信息反馈渠道</w:t>
      </w:r>
    </w:p>
    <w:p>
      <w:pPr>
        <w:pStyle w:val="14"/>
        <w:keepNext w:val="0"/>
        <w:keepLines w:val="0"/>
        <w:pageBreakBefore w:val="0"/>
        <w:widowControl/>
        <w:kinsoku/>
        <w:wordWrap/>
        <w:overflowPunct/>
        <w:topLinePunct w:val="0"/>
        <w:autoSpaceDE w:val="0"/>
        <w:autoSpaceDN/>
        <w:bidi w:val="0"/>
        <w:adjustRightInd/>
        <w:spacing w:beforeAutospacing="0" w:afterAutospacing="0" w:line="596" w:lineRule="exact"/>
        <w:ind w:firstLine="640"/>
        <w:jc w:val="both"/>
        <w:textAlignment w:val="auto"/>
        <w:rPr>
          <w:rFonts w:ascii="方正仿宋_GBK" w:hAnsi="方正仿宋_GBK" w:eastAsia="方正仿宋_GBK" w:cs="方正仿宋_GBK"/>
          <w:sz w:val="32"/>
          <w:szCs w:val="32"/>
          <w:shd w:val="clear" w:color="auto" w:fill="FFFFFF"/>
        </w:rPr>
      </w:pPr>
      <w:r>
        <w:rPr>
          <w:rFonts w:ascii="方正仿宋_GBK" w:hAnsi="方正仿宋_GBK" w:eastAsia="方正仿宋_GBK" w:cs="方正仿宋_GBK"/>
          <w:sz w:val="32"/>
          <w:szCs w:val="32"/>
          <w:shd w:val="clear" w:color="auto" w:fill="FFFFFF"/>
        </w:rPr>
        <w:t>本</w:t>
      </w:r>
      <w:r>
        <w:rPr>
          <w:rFonts w:hint="eastAsia" w:ascii="方正仿宋_GBK" w:hAnsi="方正仿宋_GBK" w:eastAsia="方正仿宋_GBK" w:cs="方正仿宋_GBK"/>
          <w:sz w:val="32"/>
          <w:szCs w:val="32"/>
          <w:shd w:val="clear" w:color="auto" w:fill="FFFFFF"/>
          <w:lang w:eastAsia="zh-CN"/>
        </w:rPr>
        <w:t>单位</w:t>
      </w:r>
      <w:r>
        <w:rPr>
          <w:rFonts w:ascii="方正仿宋_GBK" w:hAnsi="方正仿宋_GBK" w:eastAsia="方正仿宋_GBK" w:cs="方正仿宋_GBK"/>
          <w:sz w:val="32"/>
          <w:szCs w:val="32"/>
          <w:shd w:val="clear" w:color="auto" w:fill="FFFFFF"/>
        </w:rPr>
        <w:t>决算公开信息反馈和联系方式：</w:t>
      </w:r>
    </w:p>
    <w:p>
      <w:pPr>
        <w:pStyle w:val="14"/>
        <w:keepNext w:val="0"/>
        <w:keepLines w:val="0"/>
        <w:pageBreakBefore w:val="0"/>
        <w:widowControl/>
        <w:kinsoku/>
        <w:wordWrap/>
        <w:overflowPunct/>
        <w:topLinePunct w:val="0"/>
        <w:autoSpaceDE w:val="0"/>
        <w:autoSpaceDN/>
        <w:bidi w:val="0"/>
        <w:adjustRightInd/>
        <w:spacing w:beforeAutospacing="0" w:afterAutospacing="0" w:line="596" w:lineRule="exact"/>
        <w:ind w:firstLine="640"/>
        <w:jc w:val="both"/>
        <w:textAlignment w:val="auto"/>
        <w:rPr>
          <w:rStyle w:val="11"/>
          <w:rFonts w:hint="default" w:ascii="方正仿宋_GBK" w:hAnsi="方正仿宋_GBK" w:eastAsia="方正仿宋_GBK" w:cs="方正仿宋_GBK"/>
          <w:sz w:val="32"/>
          <w:szCs w:val="32"/>
          <w:shd w:val="clear" w:color="auto" w:fill="FFFF00"/>
          <w:lang w:val="en-US" w:eastAsia="zh-CN"/>
        </w:rPr>
        <w:sectPr>
          <w:footerReference r:id="rId3" w:type="default"/>
          <w:pgSz w:w="11915" w:h="16840"/>
          <w:pgMar w:top="1440" w:right="1800" w:bottom="1440" w:left="1800" w:header="851" w:footer="992" w:gutter="0"/>
          <w:pgNumType w:fmt="numberInDash"/>
          <w:cols w:space="720" w:num="1"/>
          <w:docGrid w:type="lines" w:linePitch="312" w:charSpace="0"/>
        </w:sectPr>
      </w:pPr>
      <w:r>
        <w:rPr>
          <w:rFonts w:hint="eastAsia" w:ascii="Times New Roman" w:hAnsi="Times New Roman" w:eastAsia="方正仿宋_GBK" w:cs="Times New Roman"/>
          <w:color w:val="auto"/>
          <w:sz w:val="32"/>
          <w:szCs w:val="32"/>
          <w:shd w:val="clear" w:color="auto" w:fill="FFFFFF"/>
          <w:lang w:val="en-US" w:eastAsia="zh-CN"/>
        </w:rPr>
        <w:t>刘宗颖</w:t>
      </w:r>
      <w:bookmarkStart w:id="0" w:name="_GoBack"/>
      <w:bookmarkEnd w:id="0"/>
      <w:r>
        <w:rPr>
          <w:rFonts w:hint="eastAsia" w:ascii="Times New Roman" w:hAnsi="Times New Roman" w:eastAsia="方正仿宋_GBK" w:cs="Times New Roman"/>
          <w:color w:val="auto"/>
          <w:sz w:val="32"/>
          <w:szCs w:val="32"/>
          <w:shd w:val="clear" w:color="auto" w:fill="FFFFFF"/>
          <w:lang w:val="en-US" w:eastAsia="zh-CN"/>
        </w:rPr>
        <w:t>：</w:t>
      </w:r>
      <w:r>
        <w:rPr>
          <w:rFonts w:hint="default" w:ascii="Times New Roman" w:hAnsi="Times New Roman" w:eastAsia="方正仿宋_GBK" w:cs="Times New Roman"/>
          <w:color w:val="auto"/>
          <w:sz w:val="32"/>
          <w:szCs w:val="32"/>
          <w:shd w:val="clear" w:color="auto" w:fill="FFFFFF"/>
          <w:lang w:val="en-US" w:eastAsia="zh-CN"/>
        </w:rPr>
        <w:t>023-76887120</w:t>
      </w:r>
    </w:p>
    <w:tbl>
      <w:tblPr>
        <w:tblStyle w:val="12"/>
        <w:tblpPr w:leftFromText="180" w:rightFromText="180" w:vertAnchor="text" w:horzAnchor="page" w:tblpX="1058" w:tblpY="22"/>
        <w:tblOverlap w:val="never"/>
        <w:tblW w:w="14737" w:type="dxa"/>
        <w:tblInd w:w="0" w:type="dxa"/>
        <w:tblLayout w:type="fixed"/>
        <w:tblCellMar>
          <w:top w:w="0" w:type="dxa"/>
          <w:left w:w="0" w:type="dxa"/>
          <w:bottom w:w="0" w:type="dxa"/>
          <w:right w:w="0" w:type="dxa"/>
        </w:tblCellMar>
      </w:tblPr>
      <w:tblGrid>
        <w:gridCol w:w="4294"/>
        <w:gridCol w:w="3558"/>
        <w:gridCol w:w="4044"/>
        <w:gridCol w:w="2841"/>
      </w:tblGrid>
      <w:tr>
        <w:tblPrEx>
          <w:tblLayout w:type="fixed"/>
          <w:tblCellMar>
            <w:top w:w="0" w:type="dxa"/>
            <w:left w:w="0" w:type="dxa"/>
            <w:bottom w:w="0" w:type="dxa"/>
            <w:right w:w="0" w:type="dxa"/>
          </w:tblCellMar>
        </w:tblPrEx>
        <w:trPr>
          <w:trHeight w:val="232" w:hRule="atLeast"/>
        </w:trPr>
        <w:tc>
          <w:tcPr>
            <w:tcW w:w="14737" w:type="dxa"/>
            <w:gridSpan w:val="4"/>
            <w:tcBorders>
              <w:top w:val="nil"/>
              <w:left w:val="nil"/>
              <w:bottom w:val="nil"/>
              <w:right w:val="nil"/>
            </w:tcBorders>
            <w:shd w:val="clear" w:color="auto" w:fill="auto"/>
            <w:tcMar>
              <w:top w:w="15" w:type="dxa"/>
              <w:left w:w="15" w:type="dxa"/>
              <w:right w:w="15" w:type="dxa"/>
            </w:tcMar>
            <w:vAlign w:val="bottom"/>
          </w:tcPr>
          <w:p>
            <w:pPr>
              <w:spacing w:line="400" w:lineRule="exact"/>
              <w:jc w:val="center"/>
              <w:textAlignment w:val="bottom"/>
              <w:rPr>
                <w:rFonts w:hint="default" w:cs="宋体"/>
                <w:b/>
                <w:color w:val="000000"/>
                <w:sz w:val="32"/>
                <w:szCs w:val="32"/>
              </w:rPr>
            </w:pPr>
            <w:r>
              <w:rPr>
                <w:rFonts w:cs="宋体"/>
                <w:b/>
                <w:color w:val="000000"/>
                <w:sz w:val="32"/>
                <w:szCs w:val="32"/>
              </w:rPr>
              <w:t>收入支出决算总表</w:t>
            </w:r>
          </w:p>
        </w:tc>
      </w:tr>
      <w:tr>
        <w:tblPrEx>
          <w:tblLayout w:type="fixed"/>
          <w:tblCellMar>
            <w:top w:w="0" w:type="dxa"/>
            <w:left w:w="0" w:type="dxa"/>
            <w:bottom w:w="0" w:type="dxa"/>
            <w:right w:w="0" w:type="dxa"/>
          </w:tblCellMar>
        </w:tblPrEx>
        <w:trPr>
          <w:trHeight w:val="232" w:hRule="atLeast"/>
        </w:trPr>
        <w:tc>
          <w:tcPr>
            <w:tcW w:w="4294"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ascii="Arial" w:hAnsi="Arial" w:cs="Arial"/>
                <w:color w:val="000000"/>
                <w:sz w:val="20"/>
                <w:szCs w:val="20"/>
              </w:rPr>
            </w:pPr>
          </w:p>
        </w:tc>
        <w:tc>
          <w:tcPr>
            <w:tcW w:w="3558" w:type="dxa"/>
            <w:tcBorders>
              <w:top w:val="nil"/>
              <w:left w:val="nil"/>
              <w:bottom w:val="nil"/>
              <w:right w:val="nil"/>
            </w:tcBorders>
            <w:shd w:val="clear" w:color="auto" w:fill="auto"/>
            <w:tcMar>
              <w:top w:w="15" w:type="dxa"/>
              <w:left w:w="15" w:type="dxa"/>
              <w:right w:w="15" w:type="dxa"/>
            </w:tcMar>
            <w:vAlign w:val="bottom"/>
          </w:tcPr>
          <w:p>
            <w:pPr>
              <w:spacing w:line="200" w:lineRule="exact"/>
              <w:jc w:val="right"/>
              <w:rPr>
                <w:rFonts w:hint="default" w:ascii="Arial" w:hAnsi="Arial" w:cs="Arial"/>
                <w:color w:val="000000"/>
                <w:sz w:val="20"/>
                <w:szCs w:val="20"/>
              </w:rPr>
            </w:pPr>
          </w:p>
        </w:tc>
        <w:tc>
          <w:tcPr>
            <w:tcW w:w="4044"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ascii="Arial" w:hAnsi="Arial" w:cs="Arial"/>
                <w:color w:val="000000"/>
                <w:sz w:val="20"/>
                <w:szCs w:val="20"/>
              </w:rPr>
            </w:pPr>
          </w:p>
        </w:tc>
        <w:tc>
          <w:tcPr>
            <w:tcW w:w="2841" w:type="dxa"/>
            <w:tcBorders>
              <w:top w:val="nil"/>
              <w:left w:val="nil"/>
              <w:bottom w:val="nil"/>
              <w:right w:val="nil"/>
            </w:tcBorders>
            <w:shd w:val="clear" w:color="auto" w:fill="auto"/>
            <w:tcMar>
              <w:top w:w="15" w:type="dxa"/>
              <w:left w:w="15" w:type="dxa"/>
              <w:right w:w="15" w:type="dxa"/>
            </w:tcMar>
            <w:vAlign w:val="bottom"/>
          </w:tcPr>
          <w:p>
            <w:pPr>
              <w:spacing w:line="280" w:lineRule="exact"/>
              <w:jc w:val="right"/>
              <w:textAlignment w:val="bottom"/>
              <w:rPr>
                <w:rFonts w:hint="default" w:cs="宋体"/>
                <w:color w:val="000000"/>
                <w:sz w:val="20"/>
                <w:szCs w:val="20"/>
              </w:rPr>
            </w:pPr>
            <w:r>
              <w:rPr>
                <w:rFonts w:cs="宋体"/>
                <w:color w:val="000000"/>
                <w:sz w:val="20"/>
                <w:szCs w:val="20"/>
              </w:rPr>
              <w:t>公开</w:t>
            </w:r>
            <w:r>
              <w:rPr>
                <w:rFonts w:hint="default" w:ascii="Times New Roman" w:hAnsi="Times New Roman" w:cs="Times New Roman"/>
                <w:color w:val="000000"/>
                <w:sz w:val="20"/>
                <w:szCs w:val="20"/>
              </w:rPr>
              <w:t>01</w:t>
            </w:r>
            <w:r>
              <w:rPr>
                <w:rFonts w:cs="宋体"/>
                <w:color w:val="000000"/>
                <w:sz w:val="20"/>
                <w:szCs w:val="20"/>
              </w:rPr>
              <w:t>表</w:t>
            </w:r>
          </w:p>
        </w:tc>
      </w:tr>
      <w:tr>
        <w:tblPrEx>
          <w:tblLayout w:type="fixed"/>
          <w:tblCellMar>
            <w:top w:w="0" w:type="dxa"/>
            <w:left w:w="0" w:type="dxa"/>
            <w:bottom w:w="0" w:type="dxa"/>
            <w:right w:w="0" w:type="dxa"/>
          </w:tblCellMar>
        </w:tblPrEx>
        <w:trPr>
          <w:trHeight w:val="232" w:hRule="atLeast"/>
        </w:trPr>
        <w:tc>
          <w:tcPr>
            <w:tcW w:w="7852" w:type="dxa"/>
            <w:gridSpan w:val="2"/>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ascii="Arial" w:hAnsi="Arial" w:cs="Arial"/>
                <w:color w:val="000000"/>
                <w:sz w:val="22"/>
                <w:szCs w:val="22"/>
              </w:rPr>
            </w:pPr>
            <w:r>
              <w:rPr>
                <w:rFonts w:cs="宋体"/>
                <w:sz w:val="20"/>
                <w:szCs w:val="20"/>
              </w:rPr>
              <w:t>单位：</w:t>
            </w:r>
            <w:r>
              <w:rPr>
                <w:sz w:val="20"/>
                <w:u w:color="auto"/>
              </w:rPr>
              <w:t>秀山土家族苗族自治县峨溶镇卫生院</w:t>
            </w:r>
          </w:p>
        </w:tc>
        <w:tc>
          <w:tcPr>
            <w:tcW w:w="4044"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ascii="Arial" w:hAnsi="Arial" w:cs="Arial"/>
                <w:color w:val="000000"/>
                <w:sz w:val="22"/>
                <w:szCs w:val="22"/>
              </w:rPr>
            </w:pPr>
          </w:p>
        </w:tc>
        <w:tc>
          <w:tcPr>
            <w:tcW w:w="2841" w:type="dxa"/>
            <w:tcBorders>
              <w:top w:val="nil"/>
              <w:left w:val="nil"/>
              <w:bottom w:val="nil"/>
              <w:right w:val="nil"/>
            </w:tcBorders>
            <w:shd w:val="clear" w:color="auto" w:fill="auto"/>
            <w:tcMar>
              <w:top w:w="15" w:type="dxa"/>
              <w:left w:w="15" w:type="dxa"/>
              <w:right w:w="15" w:type="dxa"/>
            </w:tcMar>
            <w:vAlign w:val="bottom"/>
          </w:tcPr>
          <w:p>
            <w:pPr>
              <w:spacing w:line="280" w:lineRule="exact"/>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tblPrEx>
          <w:tblLayout w:type="fixed"/>
          <w:tblCellMar>
            <w:top w:w="0" w:type="dxa"/>
            <w:left w:w="0" w:type="dxa"/>
            <w:bottom w:w="0" w:type="dxa"/>
            <w:right w:w="0" w:type="dxa"/>
          </w:tblCellMar>
        </w:tblPrEx>
        <w:trPr>
          <w:trHeight w:val="243" w:hRule="atLeast"/>
        </w:trPr>
        <w:tc>
          <w:tcPr>
            <w:tcW w:w="785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收入</w:t>
            </w:r>
          </w:p>
        </w:tc>
        <w:tc>
          <w:tcPr>
            <w:tcW w:w="6885" w:type="dxa"/>
            <w:gridSpan w:val="2"/>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支出</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项目</w:t>
            </w: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决算数</w:t>
            </w: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功能分类科目</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决算数</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一、一般公共预算财政拨款收入</w:t>
            </w: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242.37</w:t>
            </w:r>
            <w:r>
              <w:rPr>
                <w:rFonts w:ascii="Times New Roman" w:hAnsi="Times New Roman"/>
                <w:color w:val="000000"/>
                <w:sz w:val="20"/>
                <w:u w:color="auto"/>
              </w:rPr>
              <w:t xml:space="preserve"> </w:t>
            </w: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一、一般公共服务支出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二、政府性基金预算财政拨款收入</w:t>
            </w: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二、外交支出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三、国有资本经营预算财政拨款收入</w:t>
            </w: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三、国防支出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四、上级补助收入</w:t>
            </w: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四、公共安全支出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五、事业收入</w:t>
            </w: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249.54</w:t>
            </w:r>
            <w:r>
              <w:rPr>
                <w:rFonts w:ascii="Times New Roman" w:hAnsi="Times New Roman"/>
                <w:color w:val="000000"/>
                <w:sz w:val="20"/>
                <w:u w:color="auto"/>
              </w:rPr>
              <w:t xml:space="preserve"> </w:t>
            </w: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五、教育支出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六、经营收入</w:t>
            </w: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六、科学技术支出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七、附属单位上缴收入</w:t>
            </w: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七、文化旅游体育与传媒支出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八、其他收入</w:t>
            </w:r>
          </w:p>
        </w:tc>
        <w:tc>
          <w:tcPr>
            <w:tcW w:w="3558" w:type="dxa"/>
            <w:tcBorders>
              <w:top w:val="nil"/>
              <w:left w:val="nil"/>
              <w:bottom w:val="nil"/>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9.67</w:t>
            </w:r>
            <w:r>
              <w:rPr>
                <w:rFonts w:ascii="Times New Roman" w:hAnsi="Times New Roman"/>
                <w:color w:val="000000"/>
                <w:sz w:val="20"/>
                <w:u w:color="auto"/>
              </w:rPr>
              <w:t xml:space="preserve"> </w:t>
            </w: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八、社会保障和就业支出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33.60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九、卫生健康支出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470.15</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十、节能环保支出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十一、城乡社区支出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十二、农林水支出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十三、交通运输支出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十四、资源勘探工业信息等支出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十五、商业服务业等支出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十六、金融支出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十七、援助其他地区支出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90"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十八、自然资源海洋气象等支出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十九、住房保障支出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9.06</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二十、粮油物资储备支出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二十一、国有资本经营预算支出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二十二、灾害防治及应急管理支出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二十三、其他支出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center"/>
              <w:rPr>
                <w:rFonts w:hint="default" w:cs="宋体"/>
                <w:b/>
                <w:bCs/>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二十四、债务还本支出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二十五、债务付息支出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二十六、抗疫特别国债安排的支出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center"/>
              <w:textAlignment w:val="center"/>
              <w:rPr>
                <w:rFonts w:hint="default" w:cs="宋体"/>
                <w:b/>
                <w:bCs/>
                <w:color w:val="000000"/>
                <w:sz w:val="20"/>
                <w:szCs w:val="20"/>
              </w:rPr>
            </w:pPr>
            <w:r>
              <w:rPr>
                <w:rFonts w:cs="宋体"/>
                <w:b/>
                <w:bCs/>
                <w:color w:val="000000"/>
                <w:sz w:val="20"/>
                <w:szCs w:val="20"/>
              </w:rPr>
              <w:t>本年收入合计</w:t>
            </w: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501.57</w:t>
            </w:r>
            <w:r>
              <w:rPr>
                <w:rFonts w:ascii="Times New Roman" w:hAnsi="Times New Roman"/>
                <w:color w:val="000000"/>
                <w:sz w:val="20"/>
                <w:u w:color="auto"/>
              </w:rPr>
              <w:t xml:space="preserve"> </w:t>
            </w: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center"/>
              <w:textAlignment w:val="center"/>
              <w:rPr>
                <w:rFonts w:hint="default" w:cs="宋体"/>
                <w:b/>
                <w:bCs/>
                <w:color w:val="000000"/>
                <w:sz w:val="20"/>
                <w:szCs w:val="20"/>
              </w:rPr>
            </w:pPr>
            <w:r>
              <w:rPr>
                <w:rFonts w:cs="宋体"/>
                <w:b/>
                <w:bCs/>
                <w:color w:val="000000"/>
                <w:sz w:val="20"/>
                <w:szCs w:val="20"/>
              </w:rPr>
              <w:t>本年支出合计</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512.82</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使用非财政拨款结余和专用结余</w:t>
            </w: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结余分配</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年初结转和结余</w:t>
            </w: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11.25</w:t>
            </w:r>
            <w:r>
              <w:rPr>
                <w:rFonts w:ascii="Times New Roman" w:hAnsi="Times New Roman"/>
                <w:color w:val="000000"/>
                <w:sz w:val="20"/>
                <w:u w:color="auto"/>
              </w:rPr>
              <w:t xml:space="preserve"> </w:t>
            </w: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年末结转和结余</w:t>
            </w:r>
          </w:p>
        </w:tc>
        <w:tc>
          <w:tcPr>
            <w:tcW w:w="2841" w:type="dxa"/>
            <w:tcBorders>
              <w:top w:val="nil"/>
              <w:left w:val="nil"/>
              <w:bottom w:val="single" w:color="auto"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5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总计</w:t>
            </w:r>
          </w:p>
        </w:tc>
        <w:tc>
          <w:tcPr>
            <w:tcW w:w="3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512.82</w:t>
            </w:r>
            <w:r>
              <w:rPr>
                <w:rFonts w:ascii="Times New Roman" w:hAnsi="Times New Roman"/>
                <w:color w:val="000000"/>
                <w:sz w:val="20"/>
                <w:u w:color="auto"/>
              </w:rPr>
              <w:t xml:space="preserve"> </w:t>
            </w:r>
          </w:p>
        </w:tc>
        <w:tc>
          <w:tcPr>
            <w:tcW w:w="4044" w:type="dxa"/>
            <w:tcBorders>
              <w:top w:val="nil"/>
              <w:left w:val="nil"/>
              <w:bottom w:val="single" w:color="000000" w:sz="4" w:space="0"/>
              <w:right w:val="single" w:color="auto" w:sz="4" w:space="0"/>
            </w:tcBorders>
            <w:shd w:val="clear" w:color="auto" w:fill="auto"/>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总计</w:t>
            </w:r>
          </w:p>
        </w:tc>
        <w:tc>
          <w:tcPr>
            <w:tcW w:w="284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512.82</w:t>
            </w:r>
            <w:r>
              <w:rPr>
                <w:rFonts w:ascii="Times New Roman" w:hAnsi="Times New Roman"/>
                <w:color w:val="000000"/>
                <w:sz w:val="20"/>
                <w:u w:color="auto"/>
              </w:rPr>
              <w:t xml:space="preserve"> </w:t>
            </w:r>
          </w:p>
        </w:tc>
      </w:tr>
    </w:tbl>
    <w:p>
      <w:pPr>
        <w:rPr>
          <w:rFonts w:hint="default" w:cs="宋体"/>
          <w:sz w:val="21"/>
          <w:szCs w:val="21"/>
        </w:rPr>
      </w:pPr>
    </w:p>
    <w:p>
      <w:pPr>
        <w:spacing w:line="240" w:lineRule="exact"/>
        <w:rPr>
          <w:rFonts w:hint="default" w:cs="宋体"/>
          <w:sz w:val="20"/>
          <w:szCs w:val="20"/>
        </w:rPr>
      </w:pPr>
      <w:r>
        <w:rPr>
          <w:rFonts w:cs="宋体"/>
          <w:sz w:val="20"/>
          <w:szCs w:val="20"/>
        </w:rPr>
        <w:t>备注：1.本表反映单位本年度的总收支和年末结转结余情况。</w:t>
      </w:r>
      <w:r>
        <w:rPr>
          <w:rFonts w:cs="宋体"/>
          <w:sz w:val="20"/>
          <w:szCs w:val="20"/>
        </w:rPr>
        <w:br w:type="textWrapping"/>
      </w:r>
      <w:r>
        <w:rPr>
          <w:rFonts w:cs="宋体"/>
          <w:sz w:val="20"/>
          <w:szCs w:val="20"/>
        </w:rPr>
        <w:t xml:space="preserve">      2.本套报表金额单位转换时可能存在尾数误差。</w:t>
      </w:r>
      <w:r>
        <w:rPr>
          <w:rFonts w:cs="宋体"/>
          <w:sz w:val="20"/>
          <w:szCs w:val="20"/>
        </w:rPr>
        <w:br w:type="textWrapping"/>
      </w:r>
      <w:r>
        <w:rPr>
          <w:rFonts w:cs="宋体"/>
          <w:sz w:val="20"/>
          <w:szCs w:val="20"/>
        </w:rPr>
        <w:br w:type="textWrapping"/>
      </w:r>
    </w:p>
    <w:tbl>
      <w:tblPr>
        <w:tblStyle w:val="12"/>
        <w:tblW w:w="15503" w:type="dxa"/>
        <w:tblInd w:w="0" w:type="dxa"/>
        <w:tblLayout w:type="fixed"/>
        <w:tblCellMar>
          <w:top w:w="0" w:type="dxa"/>
          <w:left w:w="0" w:type="dxa"/>
          <w:bottom w:w="0" w:type="dxa"/>
          <w:right w:w="0" w:type="dxa"/>
        </w:tblCellMar>
      </w:tblPr>
      <w:tblGrid>
        <w:gridCol w:w="1637"/>
        <w:gridCol w:w="3075"/>
        <w:gridCol w:w="1308"/>
        <w:gridCol w:w="1367"/>
        <w:gridCol w:w="1257"/>
        <w:gridCol w:w="1257"/>
        <w:gridCol w:w="1320"/>
        <w:gridCol w:w="1259"/>
        <w:gridCol w:w="1392"/>
        <w:gridCol w:w="1631"/>
      </w:tblGrid>
      <w:tr>
        <w:tblPrEx>
          <w:tblLayout w:type="fixed"/>
          <w:tblCellMar>
            <w:top w:w="0" w:type="dxa"/>
            <w:left w:w="0" w:type="dxa"/>
            <w:bottom w:w="0" w:type="dxa"/>
            <w:right w:w="0" w:type="dxa"/>
          </w:tblCellMar>
        </w:tblPrEx>
        <w:trPr>
          <w:trHeight w:val="641" w:hRule="atLeast"/>
        </w:trPr>
        <w:tc>
          <w:tcPr>
            <w:tcW w:w="15503" w:type="dxa"/>
            <w:gridSpan w:val="10"/>
            <w:tcBorders>
              <w:top w:val="nil"/>
              <w:left w:val="nil"/>
              <w:bottom w:val="nil"/>
              <w:right w:val="nil"/>
            </w:tcBorders>
            <w:shd w:val="clear" w:color="auto" w:fill="auto"/>
            <w:tcMar>
              <w:top w:w="15" w:type="dxa"/>
              <w:left w:w="15" w:type="dxa"/>
              <w:right w:w="15" w:type="dxa"/>
            </w:tcMar>
            <w:vAlign w:val="bottom"/>
          </w:tcPr>
          <w:p>
            <w:pPr>
              <w:jc w:val="center"/>
              <w:textAlignment w:val="bottom"/>
              <w:rPr>
                <w:rFonts w:hint="default" w:cs="宋体"/>
                <w:b/>
                <w:color w:val="000000"/>
                <w:sz w:val="32"/>
                <w:szCs w:val="32"/>
              </w:rPr>
            </w:pPr>
            <w:r>
              <w:rPr>
                <w:rFonts w:cs="宋体"/>
                <w:b/>
                <w:color w:val="000000"/>
                <w:sz w:val="32"/>
                <w:szCs w:val="32"/>
              </w:rPr>
              <w:t>收入决算表</w:t>
            </w:r>
          </w:p>
        </w:tc>
      </w:tr>
      <w:tr>
        <w:tblPrEx>
          <w:tblLayout w:type="fixed"/>
          <w:tblCellMar>
            <w:top w:w="0" w:type="dxa"/>
            <w:left w:w="0" w:type="dxa"/>
            <w:bottom w:w="0" w:type="dxa"/>
            <w:right w:w="0" w:type="dxa"/>
          </w:tblCellMar>
        </w:tblPrEx>
        <w:trPr>
          <w:trHeight w:val="328" w:hRule="atLeast"/>
        </w:trPr>
        <w:tc>
          <w:tcPr>
            <w:tcW w:w="6020" w:type="dxa"/>
            <w:gridSpan w:val="3"/>
            <w:vMerge w:val="restart"/>
            <w:tcBorders>
              <w:top w:val="nil"/>
              <w:left w:val="nil"/>
              <w:right w:val="nil"/>
            </w:tcBorders>
            <w:shd w:val="clear" w:color="auto" w:fill="auto"/>
            <w:tcMar>
              <w:top w:w="15" w:type="dxa"/>
              <w:left w:w="15" w:type="dxa"/>
              <w:right w:w="15" w:type="dxa"/>
            </w:tcMar>
            <w:vAlign w:val="bottom"/>
          </w:tcPr>
          <w:p>
            <w:pPr>
              <w:rPr>
                <w:rFonts w:hint="default" w:cs="宋体"/>
                <w:color w:val="000000"/>
                <w:sz w:val="20"/>
                <w:szCs w:val="20"/>
              </w:rPr>
            </w:pPr>
            <w:r>
              <w:rPr>
                <w:rFonts w:cs="宋体"/>
                <w:sz w:val="20"/>
                <w:szCs w:val="20"/>
              </w:rPr>
              <w:t>单位：</w:t>
            </w:r>
            <w:r>
              <w:rPr>
                <w:sz w:val="20"/>
                <w:u w:color="auto"/>
              </w:rPr>
              <w:t>秀山土家族苗族自治县峨溶镇卫生院</w:t>
            </w:r>
          </w:p>
        </w:tc>
        <w:tc>
          <w:tcPr>
            <w:tcW w:w="1367"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257"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257"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320"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259"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392"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631"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公开</w:t>
            </w:r>
            <w:r>
              <w:rPr>
                <w:rFonts w:hint="default" w:ascii="Times New Roman" w:hAnsi="Times New Roman" w:cs="Times New Roman"/>
                <w:color w:val="000000"/>
                <w:sz w:val="20"/>
                <w:szCs w:val="20"/>
              </w:rPr>
              <w:t>02</w:t>
            </w:r>
            <w:r>
              <w:rPr>
                <w:rFonts w:cs="宋体"/>
                <w:color w:val="000000"/>
                <w:sz w:val="20"/>
                <w:szCs w:val="20"/>
              </w:rPr>
              <w:t>表</w:t>
            </w:r>
          </w:p>
        </w:tc>
      </w:tr>
      <w:tr>
        <w:tblPrEx>
          <w:tblLayout w:type="fixed"/>
          <w:tblCellMar>
            <w:top w:w="0" w:type="dxa"/>
            <w:left w:w="0" w:type="dxa"/>
            <w:bottom w:w="0" w:type="dxa"/>
            <w:right w:w="0" w:type="dxa"/>
          </w:tblCellMar>
        </w:tblPrEx>
        <w:trPr>
          <w:trHeight w:val="328" w:hRule="atLeast"/>
        </w:trPr>
        <w:tc>
          <w:tcPr>
            <w:tcW w:w="6020" w:type="dxa"/>
            <w:gridSpan w:val="3"/>
            <w:vMerge w:val="continue"/>
            <w:tcBorders>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367"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257"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257"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320"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259"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392"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631"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tblPrEx>
          <w:tblLayout w:type="fixed"/>
          <w:tblCellMar>
            <w:top w:w="0" w:type="dxa"/>
            <w:left w:w="0" w:type="dxa"/>
            <w:bottom w:w="0" w:type="dxa"/>
            <w:right w:w="0" w:type="dxa"/>
          </w:tblCellMar>
        </w:tblPrEx>
        <w:trPr>
          <w:trHeight w:val="431" w:hRule="atLeast"/>
        </w:trPr>
        <w:tc>
          <w:tcPr>
            <w:tcW w:w="4712" w:type="dxa"/>
            <w:gridSpan w:val="2"/>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bottom"/>
          </w:tcPr>
          <w:p>
            <w:pPr>
              <w:jc w:val="center"/>
              <w:textAlignment w:val="bottom"/>
              <w:rPr>
                <w:rFonts w:hint="default" w:cs="宋体"/>
                <w:b/>
                <w:color w:val="000000"/>
                <w:sz w:val="20"/>
                <w:szCs w:val="20"/>
              </w:rPr>
            </w:pPr>
            <w:r>
              <w:rPr>
                <w:rFonts w:cs="宋体"/>
                <w:b/>
                <w:color w:val="000000"/>
                <w:sz w:val="20"/>
                <w:szCs w:val="20"/>
              </w:rPr>
              <w:t>项目</w:t>
            </w:r>
          </w:p>
        </w:tc>
        <w:tc>
          <w:tcPr>
            <w:tcW w:w="130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本年收入合计</w:t>
            </w:r>
          </w:p>
        </w:tc>
        <w:tc>
          <w:tcPr>
            <w:tcW w:w="136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财政拨款收入</w:t>
            </w:r>
          </w:p>
        </w:tc>
        <w:tc>
          <w:tcPr>
            <w:tcW w:w="125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上级补助收入</w:t>
            </w:r>
          </w:p>
        </w:tc>
        <w:tc>
          <w:tcPr>
            <w:tcW w:w="257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jc w:val="center"/>
              <w:textAlignment w:val="bottom"/>
              <w:rPr>
                <w:rFonts w:hint="default" w:cs="宋体"/>
                <w:b/>
                <w:color w:val="000000"/>
                <w:sz w:val="20"/>
                <w:szCs w:val="20"/>
              </w:rPr>
            </w:pPr>
            <w:r>
              <w:rPr>
                <w:rFonts w:cs="宋体"/>
                <w:b/>
                <w:color w:val="000000"/>
                <w:sz w:val="20"/>
                <w:szCs w:val="20"/>
              </w:rPr>
              <w:t>事业收入</w:t>
            </w:r>
          </w:p>
        </w:tc>
        <w:tc>
          <w:tcPr>
            <w:tcW w:w="125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经营收入</w:t>
            </w:r>
          </w:p>
        </w:tc>
        <w:tc>
          <w:tcPr>
            <w:tcW w:w="1392"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附属单位上缴收入</w:t>
            </w:r>
          </w:p>
        </w:tc>
        <w:tc>
          <w:tcPr>
            <w:tcW w:w="1631"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其他收入</w:t>
            </w:r>
          </w:p>
        </w:tc>
      </w:tr>
      <w:tr>
        <w:tblPrEx>
          <w:tblLayout w:type="fixed"/>
          <w:tblCellMar>
            <w:top w:w="0" w:type="dxa"/>
            <w:left w:w="0" w:type="dxa"/>
            <w:bottom w:w="0" w:type="dxa"/>
            <w:right w:w="0" w:type="dxa"/>
          </w:tblCellMar>
        </w:tblPrEx>
        <w:trPr>
          <w:trHeight w:val="334" w:hRule="atLeast"/>
        </w:trPr>
        <w:tc>
          <w:tcPr>
            <w:tcW w:w="1637" w:type="dxa"/>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功能分类科目编码</w:t>
            </w:r>
          </w:p>
        </w:tc>
        <w:tc>
          <w:tcPr>
            <w:tcW w:w="3075" w:type="dxa"/>
            <w:vMerge w:val="restart"/>
            <w:tcBorders>
              <w:top w:val="nil"/>
              <w:left w:val="nil"/>
              <w:bottom w:val="single" w:color="000000" w:sz="4" w:space="0"/>
              <w:right w:val="nil"/>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项目（按“项”级功能分类科目）</w:t>
            </w:r>
          </w:p>
        </w:tc>
        <w:tc>
          <w:tcPr>
            <w:tcW w:w="130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36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25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25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小计</w:t>
            </w:r>
          </w:p>
        </w:tc>
        <w:tc>
          <w:tcPr>
            <w:tcW w:w="132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其中：教育收费</w:t>
            </w:r>
          </w:p>
        </w:tc>
        <w:tc>
          <w:tcPr>
            <w:tcW w:w="125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39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63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34" w:hRule="atLeast"/>
        </w:trPr>
        <w:tc>
          <w:tcPr>
            <w:tcW w:w="1637"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075" w:type="dxa"/>
            <w:vMerge w:val="continue"/>
            <w:tcBorders>
              <w:top w:val="nil"/>
              <w:left w:val="nil"/>
              <w:bottom w:val="single" w:color="000000" w:sz="4" w:space="0"/>
              <w:right w:val="nil"/>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30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36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25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25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32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25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39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63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34" w:hRule="atLeast"/>
        </w:trPr>
        <w:tc>
          <w:tcPr>
            <w:tcW w:w="1637"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075" w:type="dxa"/>
            <w:vMerge w:val="continue"/>
            <w:tcBorders>
              <w:top w:val="nil"/>
              <w:left w:val="nil"/>
              <w:bottom w:val="single" w:color="000000" w:sz="4" w:space="0"/>
              <w:right w:val="nil"/>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30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36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25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25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32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25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39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63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34" w:hRule="atLeast"/>
        </w:trPr>
        <w:tc>
          <w:tcPr>
            <w:tcW w:w="1637"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075" w:type="dxa"/>
            <w:vMerge w:val="continue"/>
            <w:tcBorders>
              <w:top w:val="nil"/>
              <w:left w:val="nil"/>
              <w:bottom w:val="single" w:color="000000" w:sz="4" w:space="0"/>
              <w:right w:val="nil"/>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30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36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25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25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32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25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39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63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38" w:hRule="atLeast"/>
        </w:trPr>
        <w:tc>
          <w:tcPr>
            <w:tcW w:w="471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合计</w:t>
            </w:r>
          </w:p>
        </w:tc>
        <w:tc>
          <w:tcPr>
            <w:tcW w:w="130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501.57</w:t>
            </w:r>
            <w:r>
              <w:rPr>
                <w:rFonts w:ascii="Times New Roman" w:hAnsi="Times New Roman"/>
                <w:b/>
                <w:color w:val="000000"/>
                <w:sz w:val="20"/>
                <w:u w:color="auto"/>
              </w:rPr>
              <w:t xml:space="preserve"> </w:t>
            </w:r>
          </w:p>
        </w:tc>
        <w:tc>
          <w:tcPr>
            <w:tcW w:w="136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242.37</w:t>
            </w:r>
            <w:r>
              <w:rPr>
                <w:rFonts w:ascii="Times New Roman" w:hAnsi="Times New Roman"/>
                <w:b/>
                <w:color w:val="000000"/>
                <w:sz w:val="20"/>
                <w:u w:color="auto"/>
              </w:rPr>
              <w:t xml:space="preserve"> </w:t>
            </w:r>
          </w:p>
        </w:tc>
        <w:tc>
          <w:tcPr>
            <w:tcW w:w="125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r>
              <w:rPr>
                <w:rFonts w:ascii="Times New Roman" w:hAnsi="Times New Roman"/>
                <w:b/>
                <w:color w:val="000000"/>
                <w:sz w:val="20"/>
                <w:u w:color="auto"/>
              </w:rPr>
              <w:t xml:space="preserve"> </w:t>
            </w:r>
          </w:p>
        </w:tc>
        <w:tc>
          <w:tcPr>
            <w:tcW w:w="125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249.54</w:t>
            </w:r>
            <w:r>
              <w:rPr>
                <w:rFonts w:ascii="Times New Roman" w:hAnsi="Times New Roman"/>
                <w:b/>
                <w:color w:val="000000"/>
                <w:sz w:val="20"/>
                <w:u w:color="auto"/>
              </w:rPr>
              <w:t xml:space="preserve"> </w:t>
            </w:r>
          </w:p>
        </w:tc>
        <w:tc>
          <w:tcPr>
            <w:tcW w:w="13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r>
              <w:rPr>
                <w:rFonts w:ascii="Times New Roman" w:hAnsi="Times New Roman"/>
                <w:b/>
                <w:color w:val="000000"/>
                <w:sz w:val="20"/>
                <w:u w:color="auto"/>
              </w:rPr>
              <w:t xml:space="preserve"> </w:t>
            </w:r>
          </w:p>
        </w:tc>
        <w:tc>
          <w:tcPr>
            <w:tcW w:w="125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r>
              <w:rPr>
                <w:rFonts w:ascii="Times New Roman" w:hAnsi="Times New Roman"/>
                <w:b/>
                <w:color w:val="000000"/>
                <w:sz w:val="20"/>
                <w:u w:color="auto"/>
              </w:rPr>
              <w:t xml:space="preserve"> </w:t>
            </w:r>
          </w:p>
        </w:tc>
        <w:tc>
          <w:tcPr>
            <w:tcW w:w="139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r>
              <w:rPr>
                <w:rFonts w:ascii="Times New Roman" w:hAnsi="Times New Roman"/>
                <w:b/>
                <w:color w:val="000000"/>
                <w:sz w:val="20"/>
                <w:u w:color="auto"/>
              </w:rPr>
              <w:t xml:space="preserve"> </w:t>
            </w:r>
          </w:p>
        </w:tc>
        <w:tc>
          <w:tcPr>
            <w:tcW w:w="163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9.67</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208</w:t>
            </w:r>
          </w:p>
        </w:tc>
        <w:tc>
          <w:tcPr>
            <w:tcW w:w="307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社会保障和就业支出</w:t>
            </w:r>
          </w:p>
        </w:tc>
        <w:tc>
          <w:tcPr>
            <w:tcW w:w="13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33.60</w:t>
            </w:r>
            <w:r>
              <w:rPr>
                <w:rFonts w:ascii="Times New Roman" w:hAnsi="Times New Roman"/>
                <w:b/>
                <w:color w:val="000000"/>
                <w:sz w:val="20"/>
                <w:u w:color="auto"/>
              </w:rPr>
              <w:t xml:space="preserve"> </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33.60</w:t>
            </w:r>
            <w:r>
              <w:rPr>
                <w:rFonts w:ascii="Times New Roman" w:hAnsi="Times New Roman"/>
                <w:b/>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3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20801</w:t>
            </w:r>
          </w:p>
        </w:tc>
        <w:tc>
          <w:tcPr>
            <w:tcW w:w="307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人力资源和社会保障管理事务</w:t>
            </w:r>
          </w:p>
        </w:tc>
        <w:tc>
          <w:tcPr>
            <w:tcW w:w="13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1.65</w:t>
            </w:r>
            <w:r>
              <w:rPr>
                <w:rFonts w:ascii="Times New Roman" w:hAnsi="Times New Roman"/>
                <w:b/>
                <w:color w:val="000000"/>
                <w:sz w:val="20"/>
                <w:u w:color="auto"/>
              </w:rPr>
              <w:t xml:space="preserve"> </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1.65</w:t>
            </w:r>
            <w:r>
              <w:rPr>
                <w:rFonts w:ascii="Times New Roman" w:hAnsi="Times New Roman"/>
                <w:b/>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3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2080199</w:t>
            </w:r>
          </w:p>
        </w:tc>
        <w:tc>
          <w:tcPr>
            <w:tcW w:w="307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其他人力资源和社会保障管理事务支出</w:t>
            </w:r>
          </w:p>
        </w:tc>
        <w:tc>
          <w:tcPr>
            <w:tcW w:w="13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1.65</w:t>
            </w:r>
            <w:r>
              <w:rPr>
                <w:rFonts w:ascii="Times New Roman" w:hAnsi="Times New Roman"/>
                <w:color w:val="000000"/>
                <w:sz w:val="20"/>
                <w:u w:color="auto"/>
              </w:rPr>
              <w:t xml:space="preserve"> </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1.65</w:t>
            </w:r>
            <w:r>
              <w:rPr>
                <w:rFonts w:ascii="Times New Roman" w:hAnsi="Times New Roman"/>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3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20805</w:t>
            </w:r>
          </w:p>
        </w:tc>
        <w:tc>
          <w:tcPr>
            <w:tcW w:w="307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行政事业单位养老支出</w:t>
            </w:r>
          </w:p>
        </w:tc>
        <w:tc>
          <w:tcPr>
            <w:tcW w:w="13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31.96</w:t>
            </w:r>
            <w:r>
              <w:rPr>
                <w:rFonts w:ascii="Times New Roman" w:hAnsi="Times New Roman"/>
                <w:b/>
                <w:color w:val="000000"/>
                <w:sz w:val="20"/>
                <w:u w:color="auto"/>
              </w:rPr>
              <w:t xml:space="preserve"> </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31.96</w:t>
            </w:r>
            <w:r>
              <w:rPr>
                <w:rFonts w:ascii="Times New Roman" w:hAnsi="Times New Roman"/>
                <w:b/>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3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2080502</w:t>
            </w:r>
          </w:p>
        </w:tc>
        <w:tc>
          <w:tcPr>
            <w:tcW w:w="307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事业单位离退休</w:t>
            </w:r>
          </w:p>
        </w:tc>
        <w:tc>
          <w:tcPr>
            <w:tcW w:w="13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6.19</w:t>
            </w:r>
            <w:r>
              <w:rPr>
                <w:rFonts w:ascii="Times New Roman" w:hAnsi="Times New Roman"/>
                <w:color w:val="000000"/>
                <w:sz w:val="20"/>
                <w:u w:color="auto"/>
              </w:rPr>
              <w:t xml:space="preserve"> </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6.19</w:t>
            </w:r>
            <w:r>
              <w:rPr>
                <w:rFonts w:ascii="Times New Roman" w:hAnsi="Times New Roman"/>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3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2080505</w:t>
            </w:r>
          </w:p>
        </w:tc>
        <w:tc>
          <w:tcPr>
            <w:tcW w:w="307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机关事业单位基本养老保险缴费支出</w:t>
            </w:r>
          </w:p>
        </w:tc>
        <w:tc>
          <w:tcPr>
            <w:tcW w:w="13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17.10</w:t>
            </w:r>
            <w:r>
              <w:rPr>
                <w:rFonts w:ascii="Times New Roman" w:hAnsi="Times New Roman"/>
                <w:color w:val="000000"/>
                <w:sz w:val="20"/>
                <w:u w:color="auto"/>
              </w:rPr>
              <w:t xml:space="preserve"> </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17.10</w:t>
            </w:r>
            <w:r>
              <w:rPr>
                <w:rFonts w:ascii="Times New Roman" w:hAnsi="Times New Roman"/>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3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2080506</w:t>
            </w:r>
          </w:p>
        </w:tc>
        <w:tc>
          <w:tcPr>
            <w:tcW w:w="307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机关事业单位职业年金缴费支出</w:t>
            </w:r>
          </w:p>
        </w:tc>
        <w:tc>
          <w:tcPr>
            <w:tcW w:w="13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8.66</w:t>
            </w:r>
            <w:r>
              <w:rPr>
                <w:rFonts w:ascii="Times New Roman" w:hAnsi="Times New Roman"/>
                <w:color w:val="000000"/>
                <w:sz w:val="20"/>
                <w:u w:color="auto"/>
              </w:rPr>
              <w:t xml:space="preserve"> </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8.66</w:t>
            </w:r>
            <w:r>
              <w:rPr>
                <w:rFonts w:ascii="Times New Roman" w:hAnsi="Times New Roman"/>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3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w:t>
            </w:r>
          </w:p>
        </w:tc>
        <w:tc>
          <w:tcPr>
            <w:tcW w:w="307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卫生健康支出</w:t>
            </w:r>
          </w:p>
        </w:tc>
        <w:tc>
          <w:tcPr>
            <w:tcW w:w="13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458.90</w:t>
            </w:r>
            <w:r>
              <w:rPr>
                <w:rFonts w:ascii="Times New Roman" w:hAnsi="Times New Roman"/>
                <w:b/>
                <w:color w:val="000000"/>
                <w:sz w:val="20"/>
                <w:u w:color="auto"/>
              </w:rPr>
              <w:t xml:space="preserve"> </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199.70</w:t>
            </w:r>
            <w:r>
              <w:rPr>
                <w:rFonts w:ascii="Times New Roman" w:hAnsi="Times New Roman"/>
                <w:b/>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249.54</w:t>
            </w:r>
            <w:r>
              <w:rPr>
                <w:rFonts w:ascii="Times New Roman" w:hAnsi="Times New Roman"/>
                <w:b/>
                <w:color w:val="000000"/>
                <w:sz w:val="20"/>
                <w:u w:color="auto"/>
              </w:rPr>
              <w:t xml:space="preserve">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3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9.67</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21003</w:t>
            </w:r>
          </w:p>
        </w:tc>
        <w:tc>
          <w:tcPr>
            <w:tcW w:w="307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基层医疗卫生机构</w:t>
            </w:r>
          </w:p>
        </w:tc>
        <w:tc>
          <w:tcPr>
            <w:tcW w:w="13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402.17</w:t>
            </w:r>
            <w:r>
              <w:rPr>
                <w:rFonts w:ascii="Times New Roman" w:hAnsi="Times New Roman"/>
                <w:b/>
                <w:color w:val="000000"/>
                <w:sz w:val="20"/>
                <w:u w:color="auto"/>
              </w:rPr>
              <w:t xml:space="preserve"> </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142.97</w:t>
            </w:r>
            <w:r>
              <w:rPr>
                <w:rFonts w:ascii="Times New Roman" w:hAnsi="Times New Roman"/>
                <w:b/>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249.54</w:t>
            </w:r>
            <w:r>
              <w:rPr>
                <w:rFonts w:ascii="Times New Roman" w:hAnsi="Times New Roman"/>
                <w:b/>
                <w:color w:val="000000"/>
                <w:sz w:val="20"/>
                <w:u w:color="auto"/>
              </w:rPr>
              <w:t xml:space="preserve">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3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9.67</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2100302</w:t>
            </w:r>
          </w:p>
        </w:tc>
        <w:tc>
          <w:tcPr>
            <w:tcW w:w="307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乡镇卫生院</w:t>
            </w:r>
          </w:p>
        </w:tc>
        <w:tc>
          <w:tcPr>
            <w:tcW w:w="13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397.85</w:t>
            </w:r>
            <w:r>
              <w:rPr>
                <w:rFonts w:ascii="Times New Roman" w:hAnsi="Times New Roman"/>
                <w:color w:val="000000"/>
                <w:sz w:val="20"/>
                <w:u w:color="auto"/>
              </w:rPr>
              <w:t xml:space="preserve"> </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138.65</w:t>
            </w:r>
            <w:r>
              <w:rPr>
                <w:rFonts w:ascii="Times New Roman" w:hAnsi="Times New Roman"/>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249.54</w:t>
            </w:r>
            <w:r>
              <w:rPr>
                <w:rFonts w:ascii="Times New Roman" w:hAnsi="Times New Roman"/>
                <w:color w:val="000000"/>
                <w:sz w:val="20"/>
                <w:u w:color="auto"/>
              </w:rPr>
              <w:t xml:space="preserve">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3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9.67</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2100399</w:t>
            </w:r>
          </w:p>
        </w:tc>
        <w:tc>
          <w:tcPr>
            <w:tcW w:w="307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其他基层医疗卫生机构支出</w:t>
            </w:r>
          </w:p>
        </w:tc>
        <w:tc>
          <w:tcPr>
            <w:tcW w:w="13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4.32</w:t>
            </w:r>
            <w:r>
              <w:rPr>
                <w:rFonts w:ascii="Times New Roman" w:hAnsi="Times New Roman"/>
                <w:color w:val="000000"/>
                <w:sz w:val="20"/>
                <w:u w:color="auto"/>
              </w:rPr>
              <w:t xml:space="preserve"> </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4.32</w:t>
            </w:r>
            <w:r>
              <w:rPr>
                <w:rFonts w:ascii="Times New Roman" w:hAnsi="Times New Roman"/>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3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21004</w:t>
            </w:r>
          </w:p>
        </w:tc>
        <w:tc>
          <w:tcPr>
            <w:tcW w:w="307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公共卫生</w:t>
            </w:r>
          </w:p>
        </w:tc>
        <w:tc>
          <w:tcPr>
            <w:tcW w:w="13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46.58</w:t>
            </w:r>
            <w:r>
              <w:rPr>
                <w:rFonts w:ascii="Times New Roman" w:hAnsi="Times New Roman"/>
                <w:b/>
                <w:color w:val="000000"/>
                <w:sz w:val="20"/>
                <w:u w:color="auto"/>
              </w:rPr>
              <w:t xml:space="preserve"> </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46.58</w:t>
            </w:r>
            <w:r>
              <w:rPr>
                <w:rFonts w:ascii="Times New Roman" w:hAnsi="Times New Roman"/>
                <w:b/>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3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2100408</w:t>
            </w:r>
          </w:p>
        </w:tc>
        <w:tc>
          <w:tcPr>
            <w:tcW w:w="307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基本公共卫生服务</w:t>
            </w:r>
          </w:p>
        </w:tc>
        <w:tc>
          <w:tcPr>
            <w:tcW w:w="13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46.08</w:t>
            </w:r>
            <w:r>
              <w:rPr>
                <w:rFonts w:ascii="Times New Roman" w:hAnsi="Times New Roman"/>
                <w:color w:val="000000"/>
                <w:sz w:val="20"/>
                <w:u w:color="auto"/>
              </w:rPr>
              <w:t xml:space="preserve"> </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46.08</w:t>
            </w:r>
            <w:r>
              <w:rPr>
                <w:rFonts w:ascii="Times New Roman" w:hAnsi="Times New Roman"/>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3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2100410</w:t>
            </w:r>
          </w:p>
        </w:tc>
        <w:tc>
          <w:tcPr>
            <w:tcW w:w="307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突发公共卫生事件应急处置</w:t>
            </w:r>
          </w:p>
        </w:tc>
        <w:tc>
          <w:tcPr>
            <w:tcW w:w="13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0.50</w:t>
            </w:r>
            <w:r>
              <w:rPr>
                <w:rFonts w:ascii="Times New Roman" w:hAnsi="Times New Roman"/>
                <w:color w:val="000000"/>
                <w:sz w:val="20"/>
                <w:u w:color="auto"/>
              </w:rPr>
              <w:t xml:space="preserve"> </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0.50</w:t>
            </w:r>
            <w:r>
              <w:rPr>
                <w:rFonts w:ascii="Times New Roman" w:hAnsi="Times New Roman"/>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3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21011</w:t>
            </w:r>
          </w:p>
        </w:tc>
        <w:tc>
          <w:tcPr>
            <w:tcW w:w="307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行政事业单位医疗</w:t>
            </w:r>
          </w:p>
        </w:tc>
        <w:tc>
          <w:tcPr>
            <w:tcW w:w="13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10.15</w:t>
            </w:r>
            <w:r>
              <w:rPr>
                <w:rFonts w:ascii="Times New Roman" w:hAnsi="Times New Roman"/>
                <w:b/>
                <w:color w:val="000000"/>
                <w:sz w:val="20"/>
                <w:u w:color="auto"/>
              </w:rPr>
              <w:t xml:space="preserve"> </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10.15</w:t>
            </w:r>
            <w:r>
              <w:rPr>
                <w:rFonts w:ascii="Times New Roman" w:hAnsi="Times New Roman"/>
                <w:b/>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3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2101102</w:t>
            </w:r>
          </w:p>
        </w:tc>
        <w:tc>
          <w:tcPr>
            <w:tcW w:w="307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事业单位医疗</w:t>
            </w:r>
          </w:p>
        </w:tc>
        <w:tc>
          <w:tcPr>
            <w:tcW w:w="13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7.55</w:t>
            </w:r>
            <w:r>
              <w:rPr>
                <w:rFonts w:ascii="Times New Roman" w:hAnsi="Times New Roman"/>
                <w:color w:val="000000"/>
                <w:sz w:val="20"/>
                <w:u w:color="auto"/>
              </w:rPr>
              <w:t xml:space="preserve"> </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7.55</w:t>
            </w:r>
            <w:r>
              <w:rPr>
                <w:rFonts w:ascii="Times New Roman" w:hAnsi="Times New Roman"/>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3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2101199</w:t>
            </w:r>
          </w:p>
        </w:tc>
        <w:tc>
          <w:tcPr>
            <w:tcW w:w="307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其他行政事业单位医疗支出</w:t>
            </w:r>
          </w:p>
        </w:tc>
        <w:tc>
          <w:tcPr>
            <w:tcW w:w="13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2.59</w:t>
            </w:r>
            <w:r>
              <w:rPr>
                <w:rFonts w:ascii="Times New Roman" w:hAnsi="Times New Roman"/>
                <w:color w:val="000000"/>
                <w:sz w:val="20"/>
                <w:u w:color="auto"/>
              </w:rPr>
              <w:t xml:space="preserve"> </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2.59</w:t>
            </w:r>
            <w:r>
              <w:rPr>
                <w:rFonts w:ascii="Times New Roman" w:hAnsi="Times New Roman"/>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3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221</w:t>
            </w:r>
          </w:p>
        </w:tc>
        <w:tc>
          <w:tcPr>
            <w:tcW w:w="307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住房保障支出</w:t>
            </w:r>
          </w:p>
        </w:tc>
        <w:tc>
          <w:tcPr>
            <w:tcW w:w="13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9.06</w:t>
            </w:r>
            <w:r>
              <w:rPr>
                <w:rFonts w:ascii="Times New Roman" w:hAnsi="Times New Roman"/>
                <w:b/>
                <w:color w:val="000000"/>
                <w:sz w:val="20"/>
                <w:u w:color="auto"/>
              </w:rPr>
              <w:t xml:space="preserve"> </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9.06</w:t>
            </w:r>
            <w:r>
              <w:rPr>
                <w:rFonts w:ascii="Times New Roman" w:hAnsi="Times New Roman"/>
                <w:b/>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3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22102</w:t>
            </w:r>
          </w:p>
        </w:tc>
        <w:tc>
          <w:tcPr>
            <w:tcW w:w="307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住房改革支出</w:t>
            </w:r>
          </w:p>
        </w:tc>
        <w:tc>
          <w:tcPr>
            <w:tcW w:w="13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9.06</w:t>
            </w:r>
            <w:r>
              <w:rPr>
                <w:rFonts w:ascii="Times New Roman" w:hAnsi="Times New Roman"/>
                <w:b/>
                <w:color w:val="000000"/>
                <w:sz w:val="20"/>
                <w:u w:color="auto"/>
              </w:rPr>
              <w:t xml:space="preserve"> </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9.06</w:t>
            </w:r>
            <w:r>
              <w:rPr>
                <w:rFonts w:ascii="Times New Roman" w:hAnsi="Times New Roman"/>
                <w:b/>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3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2210201</w:t>
            </w:r>
          </w:p>
        </w:tc>
        <w:tc>
          <w:tcPr>
            <w:tcW w:w="307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住房公积金</w:t>
            </w:r>
          </w:p>
        </w:tc>
        <w:tc>
          <w:tcPr>
            <w:tcW w:w="13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9.06</w:t>
            </w:r>
            <w:r>
              <w:rPr>
                <w:rFonts w:ascii="Times New Roman" w:hAnsi="Times New Roman"/>
                <w:color w:val="000000"/>
                <w:sz w:val="20"/>
                <w:u w:color="auto"/>
              </w:rPr>
              <w:t xml:space="preserve"> </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9.06</w:t>
            </w:r>
            <w:r>
              <w:rPr>
                <w:rFonts w:ascii="Times New Roman" w:hAnsi="Times New Roman"/>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3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bl>
    <w:p>
      <w:pPr>
        <w:ind w:left="600" w:hanging="600" w:hangingChars="300"/>
        <w:rPr>
          <w:rFonts w:hint="default" w:cs="宋体"/>
          <w:sz w:val="20"/>
          <w:szCs w:val="20"/>
        </w:rPr>
      </w:pPr>
      <w:r>
        <w:rPr>
          <w:rFonts w:cs="宋体"/>
          <w:sz w:val="20"/>
          <w:szCs w:val="20"/>
        </w:rPr>
        <w:t>备注：1.本表反映单位本年度取得的各项收入情况。</w:t>
      </w:r>
      <w:r>
        <w:rPr>
          <w:rFonts w:cs="宋体"/>
          <w:sz w:val="20"/>
          <w:szCs w:val="20"/>
        </w:rPr>
        <w:br w:type="textWrapping"/>
      </w:r>
      <w:r>
        <w:rPr>
          <w:rFonts w:cs="宋体"/>
          <w:sz w:val="20"/>
          <w:szCs w:val="20"/>
        </w:rPr>
        <w:t>2.本套报表金额单位转换时可能存在尾数误差。</w:t>
      </w:r>
      <w:r>
        <w:rPr>
          <w:rFonts w:cs="宋体"/>
          <w:sz w:val="20"/>
          <w:szCs w:val="20"/>
        </w:rPr>
        <w:br w:type="textWrapping"/>
      </w:r>
      <w:r>
        <w:rPr>
          <w:rFonts w:cs="宋体"/>
          <w:sz w:val="20"/>
          <w:szCs w:val="20"/>
        </w:rPr>
        <w:br w:type="textWrapping"/>
      </w:r>
    </w:p>
    <w:p>
      <w:pPr>
        <w:rPr>
          <w:rFonts w:hint="default" w:cs="宋体"/>
          <w:sz w:val="20"/>
          <w:szCs w:val="20"/>
        </w:rPr>
      </w:pPr>
      <w:r>
        <w:rPr>
          <w:rFonts w:cs="宋体"/>
          <w:sz w:val="20"/>
          <w:szCs w:val="20"/>
        </w:rPr>
        <w:br w:type="page"/>
      </w:r>
    </w:p>
    <w:tbl>
      <w:tblPr>
        <w:tblStyle w:val="12"/>
        <w:tblW w:w="15322" w:type="dxa"/>
        <w:tblInd w:w="0" w:type="dxa"/>
        <w:tblLayout w:type="fixed"/>
        <w:tblCellMar>
          <w:top w:w="0" w:type="dxa"/>
          <w:left w:w="0" w:type="dxa"/>
          <w:bottom w:w="0" w:type="dxa"/>
          <w:right w:w="0" w:type="dxa"/>
        </w:tblCellMar>
      </w:tblPr>
      <w:tblGrid>
        <w:gridCol w:w="1637"/>
        <w:gridCol w:w="3530"/>
        <w:gridCol w:w="1645"/>
        <w:gridCol w:w="1694"/>
        <w:gridCol w:w="1627"/>
        <w:gridCol w:w="1559"/>
        <w:gridCol w:w="1694"/>
        <w:gridCol w:w="1936"/>
      </w:tblGrid>
      <w:tr>
        <w:tblPrEx>
          <w:tblLayout w:type="fixed"/>
          <w:tblCellMar>
            <w:top w:w="0" w:type="dxa"/>
            <w:left w:w="0" w:type="dxa"/>
            <w:bottom w:w="0" w:type="dxa"/>
            <w:right w:w="0" w:type="dxa"/>
          </w:tblCellMar>
        </w:tblPrEx>
        <w:trPr>
          <w:trHeight w:val="654" w:hRule="atLeast"/>
        </w:trPr>
        <w:tc>
          <w:tcPr>
            <w:tcW w:w="15322" w:type="dxa"/>
            <w:gridSpan w:val="8"/>
            <w:tcBorders>
              <w:top w:val="nil"/>
              <w:left w:val="nil"/>
              <w:bottom w:val="nil"/>
              <w:right w:val="nil"/>
            </w:tcBorders>
            <w:shd w:val="clear" w:color="auto" w:fill="auto"/>
            <w:tcMar>
              <w:top w:w="15" w:type="dxa"/>
              <w:left w:w="15" w:type="dxa"/>
              <w:right w:w="15" w:type="dxa"/>
            </w:tcMar>
            <w:vAlign w:val="bottom"/>
          </w:tcPr>
          <w:p>
            <w:pPr>
              <w:jc w:val="center"/>
              <w:textAlignment w:val="bottom"/>
              <w:rPr>
                <w:rFonts w:hint="default" w:cs="宋体"/>
                <w:b/>
                <w:color w:val="000000"/>
                <w:sz w:val="32"/>
                <w:szCs w:val="32"/>
              </w:rPr>
            </w:pPr>
            <w:r>
              <w:rPr>
                <w:rFonts w:cs="宋体"/>
                <w:b/>
                <w:color w:val="000000"/>
                <w:sz w:val="32"/>
                <w:szCs w:val="32"/>
              </w:rPr>
              <w:t>支出决算表</w:t>
            </w:r>
          </w:p>
        </w:tc>
      </w:tr>
      <w:tr>
        <w:tblPrEx>
          <w:tblLayout w:type="fixed"/>
          <w:tblCellMar>
            <w:top w:w="0" w:type="dxa"/>
            <w:left w:w="0" w:type="dxa"/>
            <w:bottom w:w="0" w:type="dxa"/>
            <w:right w:w="0" w:type="dxa"/>
          </w:tblCellMar>
        </w:tblPrEx>
        <w:trPr>
          <w:trHeight w:val="342" w:hRule="atLeast"/>
        </w:trPr>
        <w:tc>
          <w:tcPr>
            <w:tcW w:w="6812" w:type="dxa"/>
            <w:gridSpan w:val="3"/>
            <w:vMerge w:val="restart"/>
            <w:tcBorders>
              <w:top w:val="nil"/>
              <w:left w:val="nil"/>
              <w:right w:val="nil"/>
            </w:tcBorders>
            <w:shd w:val="clear" w:color="auto" w:fill="auto"/>
            <w:tcMar>
              <w:top w:w="15" w:type="dxa"/>
              <w:left w:w="15" w:type="dxa"/>
              <w:right w:w="15" w:type="dxa"/>
            </w:tcMar>
            <w:vAlign w:val="bottom"/>
          </w:tcPr>
          <w:p>
            <w:pPr>
              <w:rPr>
                <w:rFonts w:hint="default" w:cs="宋体"/>
                <w:color w:val="000000"/>
                <w:sz w:val="20"/>
                <w:szCs w:val="20"/>
              </w:rPr>
            </w:pPr>
            <w:r>
              <w:rPr>
                <w:rFonts w:cs="宋体"/>
                <w:sz w:val="20"/>
                <w:szCs w:val="20"/>
              </w:rPr>
              <w:t>单位</w:t>
            </w:r>
            <w:r>
              <w:rPr>
                <w:rFonts w:cs="宋体"/>
                <w:color w:val="000000"/>
                <w:sz w:val="20"/>
                <w:szCs w:val="20"/>
              </w:rPr>
              <w:t>：</w:t>
            </w:r>
            <w:r>
              <w:rPr>
                <w:color w:val="000000"/>
                <w:sz w:val="20"/>
                <w:u w:color="auto"/>
              </w:rPr>
              <w:t xml:space="preserve">秀山土家族苗族自治县峨溶镇卫生院 </w:t>
            </w:r>
          </w:p>
        </w:tc>
        <w:tc>
          <w:tcPr>
            <w:tcW w:w="1694"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627"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559"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694"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936"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公开</w:t>
            </w:r>
            <w:r>
              <w:rPr>
                <w:rFonts w:hint="default" w:ascii="Times New Roman" w:hAnsi="Times New Roman" w:cs="Times New Roman"/>
                <w:color w:val="000000"/>
                <w:sz w:val="20"/>
                <w:szCs w:val="20"/>
              </w:rPr>
              <w:t>03</w:t>
            </w:r>
            <w:r>
              <w:rPr>
                <w:rFonts w:cs="宋体"/>
                <w:color w:val="000000"/>
                <w:sz w:val="20"/>
                <w:szCs w:val="20"/>
              </w:rPr>
              <w:t>表</w:t>
            </w:r>
          </w:p>
        </w:tc>
      </w:tr>
      <w:tr>
        <w:tblPrEx>
          <w:tblLayout w:type="fixed"/>
          <w:tblCellMar>
            <w:top w:w="0" w:type="dxa"/>
            <w:left w:w="0" w:type="dxa"/>
            <w:bottom w:w="0" w:type="dxa"/>
            <w:right w:w="0" w:type="dxa"/>
          </w:tblCellMar>
        </w:tblPrEx>
        <w:trPr>
          <w:trHeight w:val="342" w:hRule="atLeast"/>
        </w:trPr>
        <w:tc>
          <w:tcPr>
            <w:tcW w:w="6812" w:type="dxa"/>
            <w:gridSpan w:val="3"/>
            <w:vMerge w:val="continue"/>
            <w:tcBorders>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694"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627"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559"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694"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936"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tblPrEx>
          <w:tblLayout w:type="fixed"/>
          <w:tblCellMar>
            <w:top w:w="0" w:type="dxa"/>
            <w:left w:w="0" w:type="dxa"/>
            <w:bottom w:w="0" w:type="dxa"/>
            <w:right w:w="0" w:type="dxa"/>
          </w:tblCellMar>
        </w:tblPrEx>
        <w:trPr>
          <w:trHeight w:val="362" w:hRule="atLeast"/>
        </w:trPr>
        <w:tc>
          <w:tcPr>
            <w:tcW w:w="516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jc w:val="center"/>
              <w:textAlignment w:val="bottom"/>
              <w:rPr>
                <w:rFonts w:hint="default" w:cs="宋体"/>
                <w:b/>
                <w:color w:val="000000"/>
                <w:sz w:val="20"/>
                <w:szCs w:val="20"/>
              </w:rPr>
            </w:pPr>
            <w:r>
              <w:rPr>
                <w:rFonts w:cs="宋体"/>
                <w:b/>
                <w:color w:val="000000"/>
                <w:sz w:val="20"/>
                <w:szCs w:val="20"/>
              </w:rPr>
              <w:t>项目</w:t>
            </w:r>
          </w:p>
        </w:tc>
        <w:tc>
          <w:tcPr>
            <w:tcW w:w="164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本年支出合计</w:t>
            </w:r>
          </w:p>
        </w:tc>
        <w:tc>
          <w:tcPr>
            <w:tcW w:w="1694"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基本支出</w:t>
            </w:r>
          </w:p>
        </w:tc>
        <w:tc>
          <w:tcPr>
            <w:tcW w:w="162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项目支出</w:t>
            </w:r>
          </w:p>
        </w:tc>
        <w:tc>
          <w:tcPr>
            <w:tcW w:w="155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上缴上级支出</w:t>
            </w:r>
          </w:p>
        </w:tc>
        <w:tc>
          <w:tcPr>
            <w:tcW w:w="1694"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经营支出</w:t>
            </w:r>
          </w:p>
        </w:tc>
        <w:tc>
          <w:tcPr>
            <w:tcW w:w="193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对附属单位补助支出</w:t>
            </w:r>
          </w:p>
        </w:tc>
      </w:tr>
      <w:tr>
        <w:tblPrEx>
          <w:tblLayout w:type="fixed"/>
          <w:tblCellMar>
            <w:top w:w="0" w:type="dxa"/>
            <w:left w:w="0" w:type="dxa"/>
            <w:bottom w:w="0" w:type="dxa"/>
            <w:right w:w="0" w:type="dxa"/>
          </w:tblCellMar>
        </w:tblPrEx>
        <w:trPr>
          <w:trHeight w:val="338" w:hRule="atLeast"/>
        </w:trPr>
        <w:tc>
          <w:tcPr>
            <w:tcW w:w="1637" w:type="dxa"/>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功能分类科目编码</w:t>
            </w:r>
          </w:p>
        </w:tc>
        <w:tc>
          <w:tcPr>
            <w:tcW w:w="3530" w:type="dxa"/>
            <w:vMerge w:val="restart"/>
            <w:tcBorders>
              <w:top w:val="nil"/>
              <w:left w:val="nil"/>
              <w:bottom w:val="single" w:color="000000" w:sz="4" w:space="0"/>
              <w:right w:val="nil"/>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项目（按“项”级功能分类科目）</w:t>
            </w:r>
          </w:p>
        </w:tc>
        <w:tc>
          <w:tcPr>
            <w:tcW w:w="164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6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62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55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6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93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38" w:hRule="atLeast"/>
        </w:trPr>
        <w:tc>
          <w:tcPr>
            <w:tcW w:w="1637"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530" w:type="dxa"/>
            <w:vMerge w:val="continue"/>
            <w:tcBorders>
              <w:top w:val="nil"/>
              <w:left w:val="nil"/>
              <w:bottom w:val="single" w:color="000000" w:sz="4" w:space="0"/>
              <w:right w:val="nil"/>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64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6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62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55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6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93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38" w:hRule="atLeast"/>
        </w:trPr>
        <w:tc>
          <w:tcPr>
            <w:tcW w:w="1637"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530" w:type="dxa"/>
            <w:vMerge w:val="continue"/>
            <w:tcBorders>
              <w:top w:val="nil"/>
              <w:left w:val="nil"/>
              <w:bottom w:val="single" w:color="000000" w:sz="4" w:space="0"/>
              <w:right w:val="nil"/>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64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6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62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55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6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93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38" w:hRule="atLeast"/>
        </w:trPr>
        <w:tc>
          <w:tcPr>
            <w:tcW w:w="1637"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530" w:type="dxa"/>
            <w:vMerge w:val="continue"/>
            <w:tcBorders>
              <w:top w:val="nil"/>
              <w:left w:val="nil"/>
              <w:bottom w:val="single" w:color="000000" w:sz="4" w:space="0"/>
              <w:right w:val="nil"/>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64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6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62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55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6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93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62" w:hRule="atLeast"/>
        </w:trPr>
        <w:tc>
          <w:tcPr>
            <w:tcW w:w="516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合计</w:t>
            </w:r>
          </w:p>
        </w:tc>
        <w:tc>
          <w:tcPr>
            <w:tcW w:w="164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512.82</w:t>
            </w:r>
            <w:r>
              <w:rPr>
                <w:rFonts w:ascii="Times New Roman" w:hAnsi="Times New Roman"/>
                <w:b/>
                <w:color w:val="000000"/>
                <w:sz w:val="20"/>
                <w:u w:color="auto"/>
              </w:rPr>
              <w:t xml:space="preserve"> </w:t>
            </w:r>
          </w:p>
        </w:tc>
        <w:tc>
          <w:tcPr>
            <w:tcW w:w="169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503.68</w:t>
            </w:r>
            <w:r>
              <w:rPr>
                <w:rFonts w:ascii="Times New Roman" w:hAnsi="Times New Roman"/>
                <w:b/>
                <w:color w:val="000000"/>
                <w:sz w:val="20"/>
                <w:u w:color="auto"/>
              </w:rPr>
              <w:t xml:space="preserve"> </w:t>
            </w:r>
          </w:p>
        </w:tc>
        <w:tc>
          <w:tcPr>
            <w:tcW w:w="162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9.14</w:t>
            </w:r>
            <w:r>
              <w:rPr>
                <w:rFonts w:ascii="Times New Roman" w:hAnsi="Times New Roman"/>
                <w:b/>
                <w:color w:val="000000"/>
                <w:sz w:val="20"/>
                <w:u w:color="auto"/>
              </w:rPr>
              <w:t xml:space="preserve"> </w:t>
            </w:r>
          </w:p>
        </w:tc>
        <w:tc>
          <w:tcPr>
            <w:tcW w:w="155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r>
              <w:rPr>
                <w:rFonts w:ascii="Times New Roman" w:hAnsi="Times New Roman"/>
                <w:b/>
                <w:color w:val="000000"/>
                <w:sz w:val="20"/>
                <w:u w:color="auto"/>
              </w:rPr>
              <w:t xml:space="preserve"> </w:t>
            </w:r>
          </w:p>
        </w:tc>
        <w:tc>
          <w:tcPr>
            <w:tcW w:w="169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r>
              <w:rPr>
                <w:rFonts w:ascii="Times New Roman" w:hAnsi="Times New Roman"/>
                <w:b/>
                <w:color w:val="000000"/>
                <w:sz w:val="20"/>
                <w:u w:color="auto"/>
              </w:rPr>
              <w:t xml:space="preserve"> </w:t>
            </w:r>
          </w:p>
        </w:tc>
        <w:tc>
          <w:tcPr>
            <w:tcW w:w="193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208</w:t>
            </w:r>
          </w:p>
        </w:tc>
        <w:tc>
          <w:tcPr>
            <w:tcW w:w="35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社会保障和就业支出</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33.60</w:t>
            </w:r>
            <w:r>
              <w:rPr>
                <w:rFonts w:ascii="Times New Roman" w:hAnsi="Times New Roman"/>
                <w:b/>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33.60</w:t>
            </w:r>
            <w:r>
              <w:rPr>
                <w:rFonts w:ascii="Times New Roman" w:hAnsi="Times New Roman"/>
                <w:b/>
                <w:color w:val="000000"/>
                <w:sz w:val="20"/>
                <w:u w:color="auto"/>
              </w:rPr>
              <w:t xml:space="preserve"> </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20801</w:t>
            </w:r>
          </w:p>
        </w:tc>
        <w:tc>
          <w:tcPr>
            <w:tcW w:w="35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人力资源和社会保障管理事务</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1.65</w:t>
            </w:r>
            <w:r>
              <w:rPr>
                <w:rFonts w:ascii="Times New Roman" w:hAnsi="Times New Roman"/>
                <w:b/>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1.65</w:t>
            </w:r>
            <w:r>
              <w:rPr>
                <w:rFonts w:ascii="Times New Roman" w:hAnsi="Times New Roman"/>
                <w:b/>
                <w:color w:val="000000"/>
                <w:sz w:val="20"/>
                <w:u w:color="auto"/>
              </w:rPr>
              <w:t xml:space="preserve"> </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2080199</w:t>
            </w:r>
          </w:p>
        </w:tc>
        <w:tc>
          <w:tcPr>
            <w:tcW w:w="35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其他人力资源和社会保障管理事务支出</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1.65</w:t>
            </w:r>
            <w:r>
              <w:rPr>
                <w:rFonts w:ascii="Times New Roman" w:hAnsi="Times New Roman"/>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1.65</w:t>
            </w:r>
            <w:r>
              <w:rPr>
                <w:rFonts w:ascii="Times New Roman" w:hAnsi="Times New Roman"/>
                <w:color w:val="000000"/>
                <w:sz w:val="20"/>
                <w:u w:color="auto"/>
              </w:rPr>
              <w:t xml:space="preserve"> </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20805</w:t>
            </w:r>
          </w:p>
        </w:tc>
        <w:tc>
          <w:tcPr>
            <w:tcW w:w="35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行政事业单位养老支出</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31.96</w:t>
            </w:r>
            <w:r>
              <w:rPr>
                <w:rFonts w:ascii="Times New Roman" w:hAnsi="Times New Roman"/>
                <w:b/>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31.96</w:t>
            </w:r>
            <w:r>
              <w:rPr>
                <w:rFonts w:ascii="Times New Roman" w:hAnsi="Times New Roman"/>
                <w:b/>
                <w:color w:val="000000"/>
                <w:sz w:val="20"/>
                <w:u w:color="auto"/>
              </w:rPr>
              <w:t xml:space="preserve"> </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2080502</w:t>
            </w:r>
          </w:p>
        </w:tc>
        <w:tc>
          <w:tcPr>
            <w:tcW w:w="35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事业单位离退休</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6.19</w:t>
            </w:r>
            <w:r>
              <w:rPr>
                <w:rFonts w:ascii="Times New Roman" w:hAnsi="Times New Roman"/>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6.19</w:t>
            </w:r>
            <w:r>
              <w:rPr>
                <w:rFonts w:ascii="Times New Roman" w:hAnsi="Times New Roman"/>
                <w:color w:val="000000"/>
                <w:sz w:val="20"/>
                <w:u w:color="auto"/>
              </w:rPr>
              <w:t xml:space="preserve"> </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2080505</w:t>
            </w:r>
          </w:p>
        </w:tc>
        <w:tc>
          <w:tcPr>
            <w:tcW w:w="35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机关事业单位基本养老保险缴费支出</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17.10</w:t>
            </w:r>
            <w:r>
              <w:rPr>
                <w:rFonts w:ascii="Times New Roman" w:hAnsi="Times New Roman"/>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17.10</w:t>
            </w:r>
            <w:r>
              <w:rPr>
                <w:rFonts w:ascii="Times New Roman" w:hAnsi="Times New Roman"/>
                <w:color w:val="000000"/>
                <w:sz w:val="20"/>
                <w:u w:color="auto"/>
              </w:rPr>
              <w:t xml:space="preserve"> </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2080506</w:t>
            </w:r>
          </w:p>
        </w:tc>
        <w:tc>
          <w:tcPr>
            <w:tcW w:w="35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机关事业单位职业年金缴费支出</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8.66</w:t>
            </w:r>
            <w:r>
              <w:rPr>
                <w:rFonts w:ascii="Times New Roman" w:hAnsi="Times New Roman"/>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8.66</w:t>
            </w:r>
            <w:r>
              <w:rPr>
                <w:rFonts w:ascii="Times New Roman" w:hAnsi="Times New Roman"/>
                <w:color w:val="000000"/>
                <w:sz w:val="20"/>
                <w:u w:color="auto"/>
              </w:rPr>
              <w:t xml:space="preserve"> </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w:t>
            </w:r>
          </w:p>
        </w:tc>
        <w:tc>
          <w:tcPr>
            <w:tcW w:w="35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卫生健康支出</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470.15</w:t>
            </w:r>
            <w:r>
              <w:rPr>
                <w:rFonts w:ascii="Times New Roman" w:hAnsi="Times New Roman"/>
                <w:b/>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461.01</w:t>
            </w:r>
            <w:r>
              <w:rPr>
                <w:rFonts w:ascii="Times New Roman" w:hAnsi="Times New Roman"/>
                <w:b/>
                <w:color w:val="000000"/>
                <w:sz w:val="20"/>
                <w:u w:color="auto"/>
              </w:rPr>
              <w:t xml:space="preserve"> </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9.14</w:t>
            </w:r>
            <w:r>
              <w:rPr>
                <w:rFonts w:ascii="Times New Roman" w:hAnsi="Times New Roman"/>
                <w:b/>
                <w:color w:val="000000"/>
                <w:sz w:val="20"/>
                <w:u w:color="auto"/>
              </w:rPr>
              <w:t xml:space="preserve"> </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21003</w:t>
            </w:r>
          </w:p>
        </w:tc>
        <w:tc>
          <w:tcPr>
            <w:tcW w:w="35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基层医疗卫生机构</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413.42</w:t>
            </w:r>
            <w:r>
              <w:rPr>
                <w:rFonts w:ascii="Times New Roman" w:hAnsi="Times New Roman"/>
                <w:b/>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404.78</w:t>
            </w:r>
            <w:r>
              <w:rPr>
                <w:rFonts w:ascii="Times New Roman" w:hAnsi="Times New Roman"/>
                <w:b/>
                <w:color w:val="000000"/>
                <w:sz w:val="20"/>
                <w:u w:color="auto"/>
              </w:rPr>
              <w:t xml:space="preserve"> </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8.64</w:t>
            </w:r>
            <w:r>
              <w:rPr>
                <w:rFonts w:ascii="Times New Roman" w:hAnsi="Times New Roman"/>
                <w:b/>
                <w:color w:val="000000"/>
                <w:sz w:val="20"/>
                <w:u w:color="auto"/>
              </w:rPr>
              <w:t xml:space="preserve"> </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2100302</w:t>
            </w:r>
          </w:p>
        </w:tc>
        <w:tc>
          <w:tcPr>
            <w:tcW w:w="35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乡镇卫生院</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409.10</w:t>
            </w:r>
            <w:r>
              <w:rPr>
                <w:rFonts w:ascii="Times New Roman" w:hAnsi="Times New Roman"/>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404.78</w:t>
            </w:r>
            <w:r>
              <w:rPr>
                <w:rFonts w:ascii="Times New Roman" w:hAnsi="Times New Roman"/>
                <w:color w:val="000000"/>
                <w:sz w:val="20"/>
                <w:u w:color="auto"/>
              </w:rPr>
              <w:t xml:space="preserve"> </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4.32</w:t>
            </w:r>
            <w:r>
              <w:rPr>
                <w:rFonts w:ascii="Times New Roman" w:hAnsi="Times New Roman"/>
                <w:color w:val="000000"/>
                <w:sz w:val="20"/>
                <w:u w:color="auto"/>
              </w:rPr>
              <w:t xml:space="preserve"> </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2100399</w:t>
            </w:r>
          </w:p>
        </w:tc>
        <w:tc>
          <w:tcPr>
            <w:tcW w:w="35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其他基层医疗卫生机构支出</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4.32</w:t>
            </w:r>
            <w:r>
              <w:rPr>
                <w:rFonts w:ascii="Times New Roman" w:hAnsi="Times New Roman"/>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4.32</w:t>
            </w:r>
            <w:r>
              <w:rPr>
                <w:rFonts w:ascii="Times New Roman" w:hAnsi="Times New Roman"/>
                <w:color w:val="000000"/>
                <w:sz w:val="20"/>
                <w:u w:color="auto"/>
              </w:rPr>
              <w:t xml:space="preserve"> </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21004</w:t>
            </w:r>
          </w:p>
        </w:tc>
        <w:tc>
          <w:tcPr>
            <w:tcW w:w="35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公共卫生</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46.58</w:t>
            </w:r>
            <w:r>
              <w:rPr>
                <w:rFonts w:ascii="Times New Roman" w:hAnsi="Times New Roman"/>
                <w:b/>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46.08</w:t>
            </w:r>
            <w:r>
              <w:rPr>
                <w:rFonts w:ascii="Times New Roman" w:hAnsi="Times New Roman"/>
                <w:b/>
                <w:color w:val="000000"/>
                <w:sz w:val="20"/>
                <w:u w:color="auto"/>
              </w:rPr>
              <w:t xml:space="preserve"> </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0.50</w:t>
            </w:r>
            <w:r>
              <w:rPr>
                <w:rFonts w:ascii="Times New Roman" w:hAnsi="Times New Roman"/>
                <w:b/>
                <w:color w:val="000000"/>
                <w:sz w:val="20"/>
                <w:u w:color="auto"/>
              </w:rPr>
              <w:t xml:space="preserve"> </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2100408</w:t>
            </w:r>
          </w:p>
        </w:tc>
        <w:tc>
          <w:tcPr>
            <w:tcW w:w="35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基本公共卫生服务</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46.08</w:t>
            </w:r>
            <w:r>
              <w:rPr>
                <w:rFonts w:ascii="Times New Roman" w:hAnsi="Times New Roman"/>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46.08</w:t>
            </w:r>
            <w:r>
              <w:rPr>
                <w:rFonts w:ascii="Times New Roman" w:hAnsi="Times New Roman"/>
                <w:color w:val="000000"/>
                <w:sz w:val="20"/>
                <w:u w:color="auto"/>
              </w:rPr>
              <w:t xml:space="preserve"> </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2100410</w:t>
            </w:r>
          </w:p>
        </w:tc>
        <w:tc>
          <w:tcPr>
            <w:tcW w:w="35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突发公共卫生事件应急处置</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0.50</w:t>
            </w:r>
            <w:r>
              <w:rPr>
                <w:rFonts w:ascii="Times New Roman" w:hAnsi="Times New Roman"/>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0.50</w:t>
            </w:r>
            <w:r>
              <w:rPr>
                <w:rFonts w:ascii="Times New Roman" w:hAnsi="Times New Roman"/>
                <w:color w:val="000000"/>
                <w:sz w:val="20"/>
                <w:u w:color="auto"/>
              </w:rPr>
              <w:t xml:space="preserve"> </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21011</w:t>
            </w:r>
          </w:p>
        </w:tc>
        <w:tc>
          <w:tcPr>
            <w:tcW w:w="35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行政事业单位医疗</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10.15</w:t>
            </w:r>
            <w:r>
              <w:rPr>
                <w:rFonts w:ascii="Times New Roman" w:hAnsi="Times New Roman"/>
                <w:b/>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10.15</w:t>
            </w:r>
            <w:r>
              <w:rPr>
                <w:rFonts w:ascii="Times New Roman" w:hAnsi="Times New Roman"/>
                <w:b/>
                <w:color w:val="000000"/>
                <w:sz w:val="20"/>
                <w:u w:color="auto"/>
              </w:rPr>
              <w:t xml:space="preserve"> </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2101102</w:t>
            </w:r>
          </w:p>
        </w:tc>
        <w:tc>
          <w:tcPr>
            <w:tcW w:w="35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事业单位医疗</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7.55</w:t>
            </w:r>
            <w:r>
              <w:rPr>
                <w:rFonts w:ascii="Times New Roman" w:hAnsi="Times New Roman"/>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7.55</w:t>
            </w:r>
            <w:r>
              <w:rPr>
                <w:rFonts w:ascii="Times New Roman" w:hAnsi="Times New Roman"/>
                <w:color w:val="000000"/>
                <w:sz w:val="20"/>
                <w:u w:color="auto"/>
              </w:rPr>
              <w:t xml:space="preserve"> </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2101199</w:t>
            </w:r>
          </w:p>
        </w:tc>
        <w:tc>
          <w:tcPr>
            <w:tcW w:w="35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其他行政事业单位医疗支出</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2.59</w:t>
            </w:r>
            <w:r>
              <w:rPr>
                <w:rFonts w:ascii="Times New Roman" w:hAnsi="Times New Roman"/>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2.59</w:t>
            </w:r>
            <w:r>
              <w:rPr>
                <w:rFonts w:ascii="Times New Roman" w:hAnsi="Times New Roman"/>
                <w:color w:val="000000"/>
                <w:sz w:val="20"/>
                <w:u w:color="auto"/>
              </w:rPr>
              <w:t xml:space="preserve"> </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221</w:t>
            </w:r>
          </w:p>
        </w:tc>
        <w:tc>
          <w:tcPr>
            <w:tcW w:w="35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住房保障支出</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9.06</w:t>
            </w:r>
            <w:r>
              <w:rPr>
                <w:rFonts w:ascii="Times New Roman" w:hAnsi="Times New Roman"/>
                <w:b/>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9.06</w:t>
            </w:r>
            <w:r>
              <w:rPr>
                <w:rFonts w:ascii="Times New Roman" w:hAnsi="Times New Roman"/>
                <w:b/>
                <w:color w:val="000000"/>
                <w:sz w:val="20"/>
                <w:u w:color="auto"/>
              </w:rPr>
              <w:t xml:space="preserve"> </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22102</w:t>
            </w:r>
          </w:p>
        </w:tc>
        <w:tc>
          <w:tcPr>
            <w:tcW w:w="35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住房改革支出</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9.06</w:t>
            </w:r>
            <w:r>
              <w:rPr>
                <w:rFonts w:ascii="Times New Roman" w:hAnsi="Times New Roman"/>
                <w:b/>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9.06</w:t>
            </w:r>
            <w:r>
              <w:rPr>
                <w:rFonts w:ascii="Times New Roman" w:hAnsi="Times New Roman"/>
                <w:b/>
                <w:color w:val="000000"/>
                <w:sz w:val="20"/>
                <w:u w:color="auto"/>
              </w:rPr>
              <w:t xml:space="preserve"> </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2210201</w:t>
            </w:r>
          </w:p>
        </w:tc>
        <w:tc>
          <w:tcPr>
            <w:tcW w:w="35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住房公积金</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9.06</w:t>
            </w:r>
            <w:r>
              <w:rPr>
                <w:rFonts w:ascii="Times New Roman" w:hAnsi="Times New Roman"/>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9.06</w:t>
            </w:r>
            <w:r>
              <w:rPr>
                <w:rFonts w:ascii="Times New Roman" w:hAnsi="Times New Roman"/>
                <w:color w:val="000000"/>
                <w:sz w:val="20"/>
                <w:u w:color="auto"/>
              </w:rPr>
              <w:t xml:space="preserve"> </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bl>
    <w:p>
      <w:pPr>
        <w:rPr>
          <w:rFonts w:hint="default" w:cs="宋体"/>
          <w:sz w:val="20"/>
          <w:szCs w:val="20"/>
        </w:rPr>
      </w:pPr>
      <w:r>
        <w:rPr>
          <w:rFonts w:cs="宋体"/>
          <w:sz w:val="20"/>
          <w:szCs w:val="20"/>
        </w:rPr>
        <w:t>备注：1.本表反映单位本年度各项支出情况。</w:t>
      </w:r>
      <w:r>
        <w:rPr>
          <w:rFonts w:cs="宋体"/>
          <w:sz w:val="20"/>
          <w:szCs w:val="20"/>
        </w:rPr>
        <w:br w:type="textWrapping"/>
      </w:r>
      <w:r>
        <w:rPr>
          <w:rFonts w:cs="宋体"/>
          <w:sz w:val="20"/>
          <w:szCs w:val="20"/>
        </w:rPr>
        <w:t xml:space="preserve">      2.本套报表金额单位转换时可能存在尾数误差。</w:t>
      </w:r>
      <w:r>
        <w:rPr>
          <w:rFonts w:cs="宋体"/>
          <w:sz w:val="20"/>
          <w:szCs w:val="20"/>
        </w:rPr>
        <w:br w:type="textWrapping"/>
      </w:r>
      <w:r>
        <w:rPr>
          <w:rFonts w:cs="宋体"/>
          <w:sz w:val="20"/>
          <w:szCs w:val="20"/>
        </w:rPr>
        <w:br w:type="textWrapping"/>
      </w:r>
    </w:p>
    <w:p>
      <w:pPr>
        <w:rPr>
          <w:rFonts w:hint="default" w:cs="宋体"/>
          <w:sz w:val="21"/>
          <w:szCs w:val="21"/>
        </w:rPr>
      </w:pPr>
      <w:r>
        <w:rPr>
          <w:rFonts w:cs="宋体"/>
          <w:sz w:val="21"/>
          <w:szCs w:val="21"/>
        </w:rPr>
        <w:br w:type="page"/>
      </w:r>
    </w:p>
    <w:p>
      <w:pPr>
        <w:rPr>
          <w:rFonts w:hint="default" w:cs="宋体"/>
          <w:sz w:val="21"/>
          <w:szCs w:val="21"/>
        </w:rPr>
      </w:pPr>
    </w:p>
    <w:tbl>
      <w:tblPr>
        <w:tblStyle w:val="12"/>
        <w:tblW w:w="14678" w:type="dxa"/>
        <w:tblInd w:w="0" w:type="dxa"/>
        <w:tblLayout w:type="fixed"/>
        <w:tblCellMar>
          <w:top w:w="0" w:type="dxa"/>
          <w:left w:w="0" w:type="dxa"/>
          <w:bottom w:w="0" w:type="dxa"/>
          <w:right w:w="0" w:type="dxa"/>
        </w:tblCellMar>
      </w:tblPr>
      <w:tblGrid>
        <w:gridCol w:w="2967"/>
        <w:gridCol w:w="1521"/>
        <w:gridCol w:w="3179"/>
        <w:gridCol w:w="1694"/>
        <w:gridCol w:w="1694"/>
        <w:gridCol w:w="1694"/>
        <w:gridCol w:w="1929"/>
      </w:tblGrid>
      <w:tr>
        <w:tblPrEx>
          <w:tblLayout w:type="fixed"/>
          <w:tblCellMar>
            <w:top w:w="0" w:type="dxa"/>
            <w:left w:w="0" w:type="dxa"/>
            <w:bottom w:w="0" w:type="dxa"/>
            <w:right w:w="0" w:type="dxa"/>
          </w:tblCellMar>
        </w:tblPrEx>
        <w:trPr>
          <w:trHeight w:val="90" w:hRule="atLeast"/>
        </w:trPr>
        <w:tc>
          <w:tcPr>
            <w:tcW w:w="14678" w:type="dxa"/>
            <w:gridSpan w:val="7"/>
            <w:tcBorders>
              <w:top w:val="nil"/>
              <w:left w:val="nil"/>
              <w:bottom w:val="nil"/>
              <w:right w:val="nil"/>
            </w:tcBorders>
            <w:shd w:val="clear" w:color="auto" w:fill="auto"/>
            <w:tcMar>
              <w:top w:w="15" w:type="dxa"/>
              <w:left w:w="15" w:type="dxa"/>
              <w:right w:w="15" w:type="dxa"/>
            </w:tcMar>
            <w:vAlign w:val="bottom"/>
          </w:tcPr>
          <w:p>
            <w:pPr>
              <w:spacing w:line="400" w:lineRule="exact"/>
              <w:jc w:val="center"/>
              <w:textAlignment w:val="bottom"/>
              <w:rPr>
                <w:rFonts w:hint="default" w:cs="宋体"/>
                <w:b/>
                <w:color w:val="000000"/>
                <w:sz w:val="32"/>
                <w:szCs w:val="32"/>
              </w:rPr>
            </w:pPr>
            <w:r>
              <w:rPr>
                <w:rFonts w:cs="宋体"/>
                <w:b/>
                <w:color w:val="000000"/>
                <w:sz w:val="32"/>
                <w:szCs w:val="32"/>
              </w:rPr>
              <w:t>财政拨款收入支出决算总表</w:t>
            </w:r>
          </w:p>
        </w:tc>
      </w:tr>
      <w:tr>
        <w:tblPrEx>
          <w:tblLayout w:type="fixed"/>
          <w:tblCellMar>
            <w:top w:w="0" w:type="dxa"/>
            <w:left w:w="0" w:type="dxa"/>
            <w:bottom w:w="0" w:type="dxa"/>
            <w:right w:w="0" w:type="dxa"/>
          </w:tblCellMar>
        </w:tblPrEx>
        <w:trPr>
          <w:trHeight w:val="90" w:hRule="atLeast"/>
        </w:trPr>
        <w:tc>
          <w:tcPr>
            <w:tcW w:w="7667" w:type="dxa"/>
            <w:gridSpan w:val="3"/>
            <w:vMerge w:val="restart"/>
            <w:tcBorders>
              <w:top w:val="nil"/>
              <w:left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r>
              <w:rPr>
                <w:rFonts w:cs="宋体"/>
                <w:sz w:val="20"/>
                <w:szCs w:val="20"/>
              </w:rPr>
              <w:t>单位</w:t>
            </w:r>
            <w:r>
              <w:rPr>
                <w:rFonts w:cs="宋体"/>
                <w:color w:val="000000"/>
                <w:sz w:val="20"/>
                <w:szCs w:val="20"/>
              </w:rPr>
              <w:t>：</w:t>
            </w:r>
            <w:r>
              <w:rPr>
                <w:color w:val="000000"/>
                <w:sz w:val="20"/>
                <w:u w:color="auto"/>
              </w:rPr>
              <w:t>秀山土家族苗族自治县峨溶镇卫生院</w:t>
            </w:r>
          </w:p>
        </w:tc>
        <w:tc>
          <w:tcPr>
            <w:tcW w:w="1694"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694"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694"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929" w:type="dxa"/>
            <w:tcBorders>
              <w:top w:val="nil"/>
              <w:left w:val="nil"/>
              <w:bottom w:val="nil"/>
              <w:right w:val="nil"/>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rFonts w:cs="宋体"/>
                <w:color w:val="000000"/>
                <w:sz w:val="20"/>
                <w:szCs w:val="20"/>
              </w:rPr>
              <w:t>公开</w:t>
            </w:r>
            <w:r>
              <w:rPr>
                <w:rFonts w:hint="default" w:ascii="Times New Roman" w:hAnsi="Times New Roman" w:cs="Times New Roman"/>
                <w:color w:val="000000"/>
                <w:sz w:val="20"/>
                <w:szCs w:val="20"/>
              </w:rPr>
              <w:t>04</w:t>
            </w:r>
            <w:r>
              <w:rPr>
                <w:rFonts w:cs="宋体"/>
                <w:color w:val="000000"/>
                <w:sz w:val="20"/>
                <w:szCs w:val="20"/>
              </w:rPr>
              <w:t>表</w:t>
            </w:r>
          </w:p>
        </w:tc>
      </w:tr>
      <w:tr>
        <w:tblPrEx>
          <w:tblLayout w:type="fixed"/>
          <w:tblCellMar>
            <w:top w:w="0" w:type="dxa"/>
            <w:left w:w="0" w:type="dxa"/>
            <w:bottom w:w="0" w:type="dxa"/>
            <w:right w:w="0" w:type="dxa"/>
          </w:tblCellMar>
        </w:tblPrEx>
        <w:trPr>
          <w:trHeight w:val="90" w:hRule="atLeast"/>
        </w:trPr>
        <w:tc>
          <w:tcPr>
            <w:tcW w:w="7667" w:type="dxa"/>
            <w:gridSpan w:val="3"/>
            <w:vMerge w:val="continue"/>
            <w:tcBorders>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694"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694"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694"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929" w:type="dxa"/>
            <w:tcBorders>
              <w:top w:val="nil"/>
              <w:left w:val="nil"/>
              <w:bottom w:val="nil"/>
              <w:right w:val="nil"/>
            </w:tcBorders>
            <w:shd w:val="clear" w:color="auto" w:fill="auto"/>
            <w:tcMar>
              <w:top w:w="15" w:type="dxa"/>
              <w:left w:w="15" w:type="dxa"/>
              <w:right w:w="15" w:type="dxa"/>
            </w:tcMar>
            <w:vAlign w:val="bottom"/>
          </w:tcPr>
          <w:p>
            <w:pPr>
              <w:spacing w:line="280" w:lineRule="exact"/>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tblPrEx>
          <w:tblLayout w:type="fixed"/>
          <w:tblCellMar>
            <w:top w:w="0" w:type="dxa"/>
            <w:left w:w="0" w:type="dxa"/>
            <w:bottom w:w="0" w:type="dxa"/>
            <w:right w:w="0" w:type="dxa"/>
          </w:tblCellMar>
        </w:tblPrEx>
        <w:trPr>
          <w:trHeight w:val="90" w:hRule="atLeast"/>
        </w:trPr>
        <w:tc>
          <w:tcPr>
            <w:tcW w:w="448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收     入</w:t>
            </w:r>
          </w:p>
        </w:tc>
        <w:tc>
          <w:tcPr>
            <w:tcW w:w="10190"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支     出</w:t>
            </w:r>
          </w:p>
        </w:tc>
      </w:tr>
      <w:tr>
        <w:tblPrEx>
          <w:tblLayout w:type="fixed"/>
          <w:tblCellMar>
            <w:top w:w="0" w:type="dxa"/>
            <w:left w:w="0" w:type="dxa"/>
            <w:bottom w:w="0" w:type="dxa"/>
            <w:right w:w="0" w:type="dxa"/>
          </w:tblCellMar>
        </w:tblPrEx>
        <w:trPr>
          <w:trHeight w:val="90" w:hRule="atLeast"/>
        </w:trPr>
        <w:tc>
          <w:tcPr>
            <w:tcW w:w="296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项目</w:t>
            </w:r>
          </w:p>
        </w:tc>
        <w:tc>
          <w:tcPr>
            <w:tcW w:w="1521"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决算数</w:t>
            </w:r>
          </w:p>
        </w:tc>
        <w:tc>
          <w:tcPr>
            <w:tcW w:w="3179"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功能分类科目</w:t>
            </w:r>
          </w:p>
        </w:tc>
        <w:tc>
          <w:tcPr>
            <w:tcW w:w="7011" w:type="dxa"/>
            <w:gridSpan w:val="4"/>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决算数</w:t>
            </w:r>
          </w:p>
        </w:tc>
      </w:tr>
      <w:tr>
        <w:tblPrEx>
          <w:tblLayout w:type="fixed"/>
          <w:tblCellMar>
            <w:top w:w="0" w:type="dxa"/>
            <w:left w:w="0" w:type="dxa"/>
            <w:bottom w:w="0" w:type="dxa"/>
            <w:right w:w="0" w:type="dxa"/>
          </w:tblCellMar>
        </w:tblPrEx>
        <w:trPr>
          <w:trHeight w:val="90" w:hRule="atLeast"/>
        </w:trPr>
        <w:tc>
          <w:tcPr>
            <w:tcW w:w="296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cs="宋体"/>
                <w:b/>
                <w:color w:val="000000"/>
                <w:sz w:val="18"/>
                <w:szCs w:val="18"/>
              </w:rPr>
            </w:pPr>
          </w:p>
        </w:tc>
        <w:tc>
          <w:tcPr>
            <w:tcW w:w="152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cs="宋体"/>
                <w:b/>
                <w:color w:val="000000"/>
                <w:sz w:val="18"/>
                <w:szCs w:val="18"/>
              </w:rPr>
            </w:pPr>
          </w:p>
        </w:tc>
        <w:tc>
          <w:tcPr>
            <w:tcW w:w="3179"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cs="宋体"/>
                <w:b/>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小计</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一般公共预算财政拨款</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政府性基金预算财政拨款</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国有资本经营预算财政拨款</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一、一般公共预算财政拨款</w:t>
            </w: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242.37</w:t>
            </w:r>
            <w:r>
              <w:rPr>
                <w:rFonts w:ascii="Times New Roman" w:hAnsi="Times New Roman"/>
                <w:color w:val="000000"/>
                <w:sz w:val="18"/>
                <w:u w:color="auto"/>
              </w:rPr>
              <w:t xml:space="preserve"> </w:t>
            </w: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一、一般公共服务支出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二、政府性基金预算财政拨款</w:t>
            </w: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二、外交支出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三、国有资本经营预算财政拨款</w:t>
            </w: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三、国防支出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四、公共安全支出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五、教育支出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六、科学技术支出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七、文化旅游体育与传媒支出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八、社会保障和就业支出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33.60</w:t>
            </w: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33.60</w:t>
            </w: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九、卫生健康支出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207.46</w:t>
            </w: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207.46</w:t>
            </w: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十、节能环保支出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十一、城乡社区支出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十二、农林水支出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十三、交通运输支出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十四、资源勘探工业信息等支出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十五、商业服务业等支出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十六、金融支出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十七、援助其他地区支出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十八、自然资源海洋气象等支出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十九、住房保障支出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9.06</w:t>
            </w: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9.06</w:t>
            </w: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二十、粮油物资储备支出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二十一、国有资本经营预算支出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二十二、灾害防治及应急管理支出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二十三、其他支出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二十四、债务还本支出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二十五、债务付息支出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二十六、抗疫特别国债安排的支出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bCs/>
                <w:color w:val="000000"/>
                <w:sz w:val="18"/>
                <w:szCs w:val="18"/>
              </w:rPr>
            </w:pPr>
            <w:r>
              <w:rPr>
                <w:rFonts w:cs="宋体"/>
                <w:b/>
                <w:bCs/>
                <w:color w:val="000000"/>
                <w:sz w:val="18"/>
                <w:szCs w:val="18"/>
              </w:rPr>
              <w:t>本年收入合计</w:t>
            </w: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242.37</w:t>
            </w:r>
            <w:r>
              <w:rPr>
                <w:rFonts w:ascii="Times New Roman" w:hAnsi="Times New Roman"/>
                <w:color w:val="000000"/>
                <w:sz w:val="18"/>
                <w:u w:color="auto"/>
              </w:rPr>
              <w:t xml:space="preserve"> </w:t>
            </w: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bCs/>
                <w:color w:val="000000"/>
                <w:sz w:val="18"/>
                <w:szCs w:val="18"/>
              </w:rPr>
            </w:pPr>
            <w:r>
              <w:rPr>
                <w:rFonts w:cs="宋体"/>
                <w:b/>
                <w:bCs/>
                <w:color w:val="000000"/>
                <w:sz w:val="18"/>
                <w:szCs w:val="18"/>
              </w:rPr>
              <w:t>本年支出合计</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250.13</w:t>
            </w: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250.13</w:t>
            </w: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年初财政拨款结转和结余</w:t>
            </w: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7.76</w:t>
            </w:r>
            <w:r>
              <w:rPr>
                <w:rFonts w:ascii="Times New Roman" w:hAnsi="Times New Roman"/>
                <w:color w:val="000000"/>
                <w:sz w:val="18"/>
                <w:u w:color="auto"/>
              </w:rPr>
              <w:t xml:space="preserve"> </w:t>
            </w: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年末财政拨款结转和结余</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 xml:space="preserve">  一般公共预算财政拨款</w:t>
            </w: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7.76</w:t>
            </w:r>
            <w:r>
              <w:rPr>
                <w:rFonts w:ascii="Times New Roman" w:hAnsi="Times New Roman"/>
                <w:color w:val="000000"/>
                <w:sz w:val="18"/>
                <w:u w:color="auto"/>
              </w:rPr>
              <w:t xml:space="preserve"> </w:t>
            </w: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olor w:val="000000"/>
                <w:sz w:val="18"/>
                <w:szCs w:val="18"/>
              </w:rPr>
            </w:pP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olor w:val="000000"/>
                <w:sz w:val="18"/>
                <w:szCs w:val="18"/>
              </w:rPr>
            </w:pP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 xml:space="preserve">  政府性基金预算财政拨款</w:t>
            </w: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cs="宋体"/>
                <w:b/>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 xml:space="preserve">  国有资本经营预算财政拨款</w:t>
            </w: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cs="宋体"/>
                <w:b/>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总计</w:t>
            </w: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250.13</w:t>
            </w:r>
            <w:r>
              <w:rPr>
                <w:rFonts w:ascii="Times New Roman" w:hAnsi="Times New Roman"/>
                <w:color w:val="000000"/>
                <w:sz w:val="18"/>
                <w:u w:color="auto"/>
              </w:rPr>
              <w:t xml:space="preserve"> </w:t>
            </w: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总计</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250.13</w:t>
            </w: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250.13</w:t>
            </w: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bl>
    <w:p>
      <w:pPr>
        <w:spacing w:line="240" w:lineRule="exact"/>
        <w:rPr>
          <w:rFonts w:hint="default" w:cs="宋体"/>
          <w:sz w:val="20"/>
          <w:szCs w:val="20"/>
        </w:rPr>
      </w:pPr>
      <w:r>
        <w:rPr>
          <w:rFonts w:cs="宋体"/>
          <w:sz w:val="20"/>
          <w:szCs w:val="20"/>
        </w:rPr>
        <w:t>备注：1.本表反映单位本年度一般公共预算财政拨款、政府性基金预算财政拨款及国有资本经营预算财政拨款的总收支和年末结转结余情况。</w:t>
      </w:r>
      <w:r>
        <w:rPr>
          <w:rFonts w:cs="宋体"/>
          <w:sz w:val="20"/>
          <w:szCs w:val="20"/>
        </w:rPr>
        <w:br w:type="textWrapping"/>
      </w:r>
      <w:r>
        <w:rPr>
          <w:rFonts w:cs="宋体"/>
          <w:sz w:val="20"/>
          <w:szCs w:val="20"/>
        </w:rPr>
        <w:t xml:space="preserve">      2.本套报表金额单位转换时可能存在尾数误差。</w:t>
      </w:r>
      <w:r>
        <w:rPr>
          <w:rFonts w:cs="宋体"/>
          <w:sz w:val="20"/>
          <w:szCs w:val="20"/>
        </w:rPr>
        <w:br w:type="textWrapping"/>
      </w:r>
      <w:r>
        <w:rPr>
          <w:rFonts w:cs="宋体"/>
          <w:sz w:val="20"/>
          <w:szCs w:val="20"/>
        </w:rPr>
        <w:br w:type="textWrapping"/>
      </w:r>
      <w:r>
        <w:rPr>
          <w:rFonts w:cs="宋体"/>
          <w:sz w:val="21"/>
          <w:szCs w:val="21"/>
        </w:rPr>
        <w:br w:type="page"/>
      </w:r>
    </w:p>
    <w:tbl>
      <w:tblPr>
        <w:tblStyle w:val="12"/>
        <w:tblW w:w="15322" w:type="dxa"/>
        <w:tblInd w:w="0" w:type="dxa"/>
        <w:tblLayout w:type="fixed"/>
        <w:tblCellMar>
          <w:top w:w="0" w:type="dxa"/>
          <w:left w:w="0" w:type="dxa"/>
          <w:bottom w:w="0" w:type="dxa"/>
          <w:right w:w="0" w:type="dxa"/>
        </w:tblCellMar>
      </w:tblPr>
      <w:tblGrid>
        <w:gridCol w:w="1486"/>
        <w:gridCol w:w="3895"/>
        <w:gridCol w:w="3306"/>
        <w:gridCol w:w="3300"/>
        <w:gridCol w:w="3335"/>
      </w:tblGrid>
      <w:tr>
        <w:tblPrEx>
          <w:tblLayout w:type="fixed"/>
          <w:tblCellMar>
            <w:top w:w="0" w:type="dxa"/>
            <w:left w:w="0" w:type="dxa"/>
            <w:bottom w:w="0" w:type="dxa"/>
            <w:right w:w="0" w:type="dxa"/>
          </w:tblCellMar>
        </w:tblPrEx>
        <w:trPr>
          <w:trHeight w:val="510" w:hRule="atLeast"/>
        </w:trPr>
        <w:tc>
          <w:tcPr>
            <w:tcW w:w="15322" w:type="dxa"/>
            <w:gridSpan w:val="5"/>
            <w:tcBorders>
              <w:top w:val="nil"/>
              <w:left w:val="nil"/>
              <w:bottom w:val="nil"/>
              <w:right w:val="nil"/>
            </w:tcBorders>
            <w:shd w:val="clear" w:color="auto" w:fill="auto"/>
            <w:tcMar>
              <w:top w:w="15" w:type="dxa"/>
              <w:left w:w="15" w:type="dxa"/>
              <w:right w:w="15" w:type="dxa"/>
            </w:tcMar>
            <w:vAlign w:val="bottom"/>
          </w:tcPr>
          <w:p>
            <w:pPr>
              <w:jc w:val="center"/>
              <w:textAlignment w:val="bottom"/>
              <w:rPr>
                <w:rFonts w:hint="default" w:cs="宋体"/>
                <w:b/>
                <w:color w:val="000000"/>
                <w:sz w:val="32"/>
                <w:szCs w:val="32"/>
              </w:rPr>
            </w:pPr>
            <w:r>
              <w:rPr>
                <w:rFonts w:cs="宋体"/>
                <w:b/>
                <w:color w:val="000000"/>
                <w:sz w:val="32"/>
                <w:szCs w:val="32"/>
              </w:rPr>
              <w:t>一般公共预算财政拨款支出决算表</w:t>
            </w:r>
          </w:p>
        </w:tc>
      </w:tr>
      <w:tr>
        <w:tblPrEx>
          <w:tblLayout w:type="fixed"/>
          <w:tblCellMar>
            <w:top w:w="0" w:type="dxa"/>
            <w:left w:w="0" w:type="dxa"/>
            <w:bottom w:w="0" w:type="dxa"/>
            <w:right w:w="0" w:type="dxa"/>
          </w:tblCellMar>
        </w:tblPrEx>
        <w:trPr>
          <w:trHeight w:val="255" w:hRule="atLeast"/>
        </w:trPr>
        <w:tc>
          <w:tcPr>
            <w:tcW w:w="8687" w:type="dxa"/>
            <w:gridSpan w:val="3"/>
            <w:vMerge w:val="restart"/>
            <w:tcBorders>
              <w:top w:val="nil"/>
              <w:left w:val="nil"/>
              <w:right w:val="nil"/>
            </w:tcBorders>
            <w:shd w:val="clear" w:color="auto" w:fill="auto"/>
            <w:tcMar>
              <w:top w:w="15" w:type="dxa"/>
              <w:left w:w="15" w:type="dxa"/>
              <w:right w:w="15" w:type="dxa"/>
            </w:tcMar>
            <w:vAlign w:val="bottom"/>
          </w:tcPr>
          <w:p>
            <w:pPr>
              <w:rPr>
                <w:rFonts w:hint="default" w:cs="宋体"/>
                <w:color w:val="000000"/>
                <w:sz w:val="20"/>
                <w:szCs w:val="20"/>
              </w:rPr>
            </w:pPr>
            <w:r>
              <w:rPr>
                <w:rFonts w:cs="宋体"/>
                <w:sz w:val="20"/>
                <w:szCs w:val="20"/>
              </w:rPr>
              <w:t>单位</w:t>
            </w:r>
            <w:r>
              <w:rPr>
                <w:rFonts w:cs="宋体"/>
                <w:color w:val="000000"/>
                <w:sz w:val="20"/>
                <w:szCs w:val="20"/>
              </w:rPr>
              <w:t>：</w:t>
            </w:r>
            <w:r>
              <w:rPr>
                <w:color w:val="000000"/>
                <w:sz w:val="20"/>
                <w:u w:color="auto"/>
              </w:rPr>
              <w:t>秀山土家族苗族自治县峨溶镇卫生院</w:t>
            </w:r>
          </w:p>
        </w:tc>
        <w:tc>
          <w:tcPr>
            <w:tcW w:w="3300"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3335"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公开</w:t>
            </w:r>
            <w:r>
              <w:rPr>
                <w:rFonts w:hint="default" w:ascii="Times New Roman" w:hAnsi="Times New Roman" w:cs="Times New Roman"/>
                <w:color w:val="000000"/>
                <w:sz w:val="20"/>
                <w:szCs w:val="20"/>
              </w:rPr>
              <w:t>05</w:t>
            </w:r>
            <w:r>
              <w:rPr>
                <w:rFonts w:cs="宋体"/>
                <w:color w:val="000000"/>
                <w:sz w:val="20"/>
                <w:szCs w:val="20"/>
              </w:rPr>
              <w:t>表</w:t>
            </w:r>
          </w:p>
        </w:tc>
      </w:tr>
      <w:tr>
        <w:tblPrEx>
          <w:tblLayout w:type="fixed"/>
          <w:tblCellMar>
            <w:top w:w="0" w:type="dxa"/>
            <w:left w:w="0" w:type="dxa"/>
            <w:bottom w:w="0" w:type="dxa"/>
            <w:right w:w="0" w:type="dxa"/>
          </w:tblCellMar>
        </w:tblPrEx>
        <w:trPr>
          <w:trHeight w:val="285" w:hRule="atLeast"/>
        </w:trPr>
        <w:tc>
          <w:tcPr>
            <w:tcW w:w="8687" w:type="dxa"/>
            <w:gridSpan w:val="3"/>
            <w:vMerge w:val="continue"/>
            <w:tcBorders>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3300"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3335"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tblPrEx>
          <w:tblLayout w:type="fixed"/>
          <w:tblCellMar>
            <w:top w:w="0" w:type="dxa"/>
            <w:left w:w="0" w:type="dxa"/>
            <w:bottom w:w="0" w:type="dxa"/>
            <w:right w:w="0" w:type="dxa"/>
          </w:tblCellMar>
        </w:tblPrEx>
        <w:trPr>
          <w:trHeight w:val="308" w:hRule="atLeast"/>
        </w:trPr>
        <w:tc>
          <w:tcPr>
            <w:tcW w:w="5381"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w:t>
            </w:r>
          </w:p>
        </w:tc>
        <w:tc>
          <w:tcPr>
            <w:tcW w:w="9941" w:type="dxa"/>
            <w:gridSpan w:val="3"/>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本年支出</w:t>
            </w:r>
          </w:p>
        </w:tc>
      </w:tr>
      <w:tr>
        <w:tblPrEx>
          <w:tblLayout w:type="fixed"/>
          <w:tblCellMar>
            <w:top w:w="0" w:type="dxa"/>
            <w:left w:w="0" w:type="dxa"/>
            <w:bottom w:w="0" w:type="dxa"/>
            <w:right w:w="0" w:type="dxa"/>
          </w:tblCellMar>
        </w:tblPrEx>
        <w:trPr>
          <w:trHeight w:val="326" w:hRule="atLeast"/>
        </w:trPr>
        <w:tc>
          <w:tcPr>
            <w:tcW w:w="1486" w:type="dxa"/>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功能分类科目编码</w:t>
            </w:r>
          </w:p>
        </w:tc>
        <w:tc>
          <w:tcPr>
            <w:tcW w:w="3895"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项目（按“项”级功能分类科目）</w:t>
            </w:r>
          </w:p>
        </w:tc>
        <w:tc>
          <w:tcPr>
            <w:tcW w:w="3306"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合计</w:t>
            </w:r>
          </w:p>
        </w:tc>
        <w:tc>
          <w:tcPr>
            <w:tcW w:w="3300"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基本支出</w:t>
            </w:r>
          </w:p>
        </w:tc>
        <w:tc>
          <w:tcPr>
            <w:tcW w:w="3335"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项目支出</w:t>
            </w:r>
          </w:p>
        </w:tc>
      </w:tr>
      <w:tr>
        <w:tblPrEx>
          <w:tblLayout w:type="fixed"/>
          <w:tblCellMar>
            <w:top w:w="0" w:type="dxa"/>
            <w:left w:w="0" w:type="dxa"/>
            <w:bottom w:w="0" w:type="dxa"/>
            <w:right w:w="0" w:type="dxa"/>
          </w:tblCellMar>
        </w:tblPrEx>
        <w:trPr>
          <w:trHeight w:val="326" w:hRule="atLeast"/>
        </w:trPr>
        <w:tc>
          <w:tcPr>
            <w:tcW w:w="1486"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895"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306"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300"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335"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615" w:hRule="atLeast"/>
        </w:trPr>
        <w:tc>
          <w:tcPr>
            <w:tcW w:w="1486"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895"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306"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300"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335"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08" w:hRule="atLeast"/>
        </w:trPr>
        <w:tc>
          <w:tcPr>
            <w:tcW w:w="5381" w:type="dxa"/>
            <w:gridSpan w:val="2"/>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合计</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250.13</w:t>
            </w:r>
            <w:r>
              <w:rPr>
                <w:rFonts w:ascii="Times New Roman" w:hAnsi="Times New Roman"/>
                <w:b/>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240.99</w:t>
            </w:r>
            <w:r>
              <w:rPr>
                <w:rFonts w:ascii="Times New Roman" w:hAnsi="Times New Roman"/>
                <w:b/>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9.14</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208</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社会保障和就业支出</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33.60</w:t>
            </w:r>
            <w:r>
              <w:rPr>
                <w:rFonts w:ascii="Times New Roman" w:hAnsi="Times New Roman"/>
                <w:b/>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33.60</w:t>
            </w:r>
            <w:r>
              <w:rPr>
                <w:rFonts w:ascii="Times New Roman" w:hAnsi="Times New Roman"/>
                <w:b/>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20801</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人力资源和社会保障管理事务</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1.65</w:t>
            </w:r>
            <w:r>
              <w:rPr>
                <w:rFonts w:ascii="Times New Roman" w:hAnsi="Times New Roman"/>
                <w:b/>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1.65</w:t>
            </w:r>
            <w:r>
              <w:rPr>
                <w:rFonts w:ascii="Times New Roman" w:hAnsi="Times New Roman"/>
                <w:b/>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2080199</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其他人力资源和社会保障管理事务支出</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1.65</w:t>
            </w:r>
            <w:r>
              <w:rPr>
                <w:rFonts w:ascii="Times New Roman" w:hAnsi="Times New Roman"/>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1.65</w:t>
            </w:r>
            <w:r>
              <w:rPr>
                <w:rFonts w:ascii="Times New Roman" w:hAnsi="Times New Roman"/>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20805</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行政事业单位养老支出</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31.96</w:t>
            </w:r>
            <w:r>
              <w:rPr>
                <w:rFonts w:ascii="Times New Roman" w:hAnsi="Times New Roman"/>
                <w:b/>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31.96</w:t>
            </w:r>
            <w:r>
              <w:rPr>
                <w:rFonts w:ascii="Times New Roman" w:hAnsi="Times New Roman"/>
                <w:b/>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2080502</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事业单位离退休</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6.19</w:t>
            </w:r>
            <w:r>
              <w:rPr>
                <w:rFonts w:ascii="Times New Roman" w:hAnsi="Times New Roman"/>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6.19</w:t>
            </w:r>
            <w:r>
              <w:rPr>
                <w:rFonts w:ascii="Times New Roman" w:hAnsi="Times New Roman"/>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2080505</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机关事业单位基本养老保险缴费支出</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17.10</w:t>
            </w:r>
            <w:r>
              <w:rPr>
                <w:rFonts w:ascii="Times New Roman" w:hAnsi="Times New Roman"/>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17.10</w:t>
            </w:r>
            <w:r>
              <w:rPr>
                <w:rFonts w:ascii="Times New Roman" w:hAnsi="Times New Roman"/>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2080506</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机关事业单位职业年金缴费支出</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8.66</w:t>
            </w:r>
            <w:r>
              <w:rPr>
                <w:rFonts w:ascii="Times New Roman" w:hAnsi="Times New Roman"/>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8.66</w:t>
            </w:r>
            <w:r>
              <w:rPr>
                <w:rFonts w:ascii="Times New Roman" w:hAnsi="Times New Roman"/>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卫生健康支出</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207.46</w:t>
            </w:r>
            <w:r>
              <w:rPr>
                <w:rFonts w:ascii="Times New Roman" w:hAnsi="Times New Roman"/>
                <w:b/>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198.32</w:t>
            </w:r>
            <w:r>
              <w:rPr>
                <w:rFonts w:ascii="Times New Roman" w:hAnsi="Times New Roman"/>
                <w:b/>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9.14</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21003</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基层医疗卫生机构</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150.73</w:t>
            </w:r>
            <w:r>
              <w:rPr>
                <w:rFonts w:ascii="Times New Roman" w:hAnsi="Times New Roman"/>
                <w:b/>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142.09</w:t>
            </w:r>
            <w:r>
              <w:rPr>
                <w:rFonts w:ascii="Times New Roman" w:hAnsi="Times New Roman"/>
                <w:b/>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8.64</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2100302</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乡镇卫生院</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146.41</w:t>
            </w:r>
            <w:r>
              <w:rPr>
                <w:rFonts w:ascii="Times New Roman" w:hAnsi="Times New Roman"/>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142.09</w:t>
            </w:r>
            <w:r>
              <w:rPr>
                <w:rFonts w:ascii="Times New Roman" w:hAnsi="Times New Roman"/>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4.32</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2100399</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其他基层医疗卫生机构支出</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4.32</w:t>
            </w:r>
            <w:r>
              <w:rPr>
                <w:rFonts w:ascii="Times New Roman" w:hAnsi="Times New Roman"/>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4.32</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21004</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公共卫生</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46.58</w:t>
            </w:r>
            <w:r>
              <w:rPr>
                <w:rFonts w:ascii="Times New Roman" w:hAnsi="Times New Roman"/>
                <w:b/>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46.08</w:t>
            </w:r>
            <w:r>
              <w:rPr>
                <w:rFonts w:ascii="Times New Roman" w:hAnsi="Times New Roman"/>
                <w:b/>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0.50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2100408</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基本公共卫生服务</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46.08</w:t>
            </w:r>
            <w:r>
              <w:rPr>
                <w:rFonts w:ascii="Times New Roman" w:hAnsi="Times New Roman"/>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46.08</w:t>
            </w:r>
            <w:r>
              <w:rPr>
                <w:rFonts w:ascii="Times New Roman" w:hAnsi="Times New Roman"/>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2100410</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突发公共卫生事件应急处置</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0.50</w:t>
            </w:r>
            <w:r>
              <w:rPr>
                <w:rFonts w:ascii="Times New Roman" w:hAnsi="Times New Roman"/>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0.50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21011</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行政事业单位医疗</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10.15</w:t>
            </w:r>
            <w:r>
              <w:rPr>
                <w:rFonts w:ascii="Times New Roman" w:hAnsi="Times New Roman"/>
                <w:b/>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10.15</w:t>
            </w:r>
            <w:r>
              <w:rPr>
                <w:rFonts w:ascii="Times New Roman" w:hAnsi="Times New Roman"/>
                <w:b/>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2101102</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事业单位医疗</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7.55</w:t>
            </w:r>
            <w:r>
              <w:rPr>
                <w:rFonts w:ascii="Times New Roman" w:hAnsi="Times New Roman"/>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7.55</w:t>
            </w:r>
            <w:r>
              <w:rPr>
                <w:rFonts w:ascii="Times New Roman" w:hAnsi="Times New Roman"/>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2101199</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其他行政事业单位医疗支出</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2.59</w:t>
            </w:r>
            <w:r>
              <w:rPr>
                <w:rFonts w:ascii="Times New Roman" w:hAnsi="Times New Roman"/>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2.59</w:t>
            </w:r>
            <w:r>
              <w:rPr>
                <w:rFonts w:ascii="Times New Roman" w:hAnsi="Times New Roman"/>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221</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住房保障支出</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9.06</w:t>
            </w:r>
            <w:r>
              <w:rPr>
                <w:rFonts w:ascii="Times New Roman" w:hAnsi="Times New Roman"/>
                <w:b/>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9.06</w:t>
            </w:r>
            <w:r>
              <w:rPr>
                <w:rFonts w:ascii="Times New Roman" w:hAnsi="Times New Roman"/>
                <w:b/>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22102</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住房改革支出</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9.06</w:t>
            </w:r>
            <w:r>
              <w:rPr>
                <w:rFonts w:ascii="Times New Roman" w:hAnsi="Times New Roman"/>
                <w:b/>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9.06</w:t>
            </w:r>
            <w:r>
              <w:rPr>
                <w:rFonts w:ascii="Times New Roman" w:hAnsi="Times New Roman"/>
                <w:b/>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2210201</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住房公积金</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9.06</w:t>
            </w:r>
            <w:r>
              <w:rPr>
                <w:rFonts w:ascii="Times New Roman" w:hAnsi="Times New Roman"/>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9.06</w:t>
            </w:r>
            <w:r>
              <w:rPr>
                <w:rFonts w:ascii="Times New Roman" w:hAnsi="Times New Roman"/>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bl>
    <w:p>
      <w:pPr>
        <w:rPr>
          <w:rFonts w:hint="default" w:cs="宋体"/>
          <w:sz w:val="21"/>
          <w:szCs w:val="21"/>
        </w:rPr>
      </w:pPr>
      <w:r>
        <w:rPr>
          <w:rFonts w:cs="宋体"/>
          <w:sz w:val="20"/>
          <w:szCs w:val="20"/>
        </w:rPr>
        <w:t>备注：1.本表反映单位本年度一般公共预算财政拨款支出情况。</w:t>
      </w:r>
      <w:r>
        <w:rPr>
          <w:rFonts w:cs="宋体"/>
          <w:sz w:val="20"/>
          <w:szCs w:val="20"/>
        </w:rPr>
        <w:br w:type="textWrapping"/>
      </w:r>
      <w:r>
        <w:rPr>
          <w:rFonts w:cs="宋体"/>
          <w:sz w:val="20"/>
          <w:szCs w:val="20"/>
        </w:rPr>
        <w:t xml:space="preserve">      2.本套报表金额单位转换时可能存在尾数误差。</w:t>
      </w:r>
      <w:r>
        <w:rPr>
          <w:rFonts w:cs="宋体"/>
          <w:sz w:val="20"/>
          <w:szCs w:val="20"/>
        </w:rPr>
        <w:br w:type="textWrapping"/>
      </w:r>
      <w:r>
        <w:rPr>
          <w:rFonts w:cs="宋体"/>
          <w:sz w:val="20"/>
          <w:szCs w:val="20"/>
        </w:rPr>
        <w:br w:type="textWrapping"/>
      </w:r>
    </w:p>
    <w:p>
      <w:pPr>
        <w:ind w:firstLine="630" w:firstLineChars="300"/>
        <w:rPr>
          <w:rFonts w:hint="default" w:cs="宋体"/>
          <w:sz w:val="21"/>
          <w:szCs w:val="21"/>
        </w:rPr>
      </w:pPr>
      <w:r>
        <w:rPr>
          <w:rFonts w:cs="宋体"/>
          <w:sz w:val="21"/>
          <w:szCs w:val="21"/>
        </w:rPr>
        <w:br w:type="page"/>
      </w:r>
    </w:p>
    <w:tbl>
      <w:tblPr>
        <w:tblStyle w:val="12"/>
        <w:tblW w:w="15304" w:type="dxa"/>
        <w:tblInd w:w="0" w:type="dxa"/>
        <w:tblLayout w:type="fixed"/>
        <w:tblCellMar>
          <w:top w:w="0" w:type="dxa"/>
          <w:left w:w="0" w:type="dxa"/>
          <w:bottom w:w="0" w:type="dxa"/>
          <w:right w:w="0" w:type="dxa"/>
        </w:tblCellMar>
      </w:tblPr>
      <w:tblGrid>
        <w:gridCol w:w="603"/>
        <w:gridCol w:w="2730"/>
        <w:gridCol w:w="1371"/>
        <w:gridCol w:w="833"/>
        <w:gridCol w:w="1916"/>
        <w:gridCol w:w="1650"/>
        <w:gridCol w:w="805"/>
        <w:gridCol w:w="3514"/>
        <w:gridCol w:w="1882"/>
      </w:tblGrid>
      <w:tr>
        <w:tblPrEx>
          <w:tblLayout w:type="fixed"/>
          <w:tblCellMar>
            <w:top w:w="0" w:type="dxa"/>
            <w:left w:w="0" w:type="dxa"/>
            <w:bottom w:w="0" w:type="dxa"/>
            <w:right w:w="0" w:type="dxa"/>
          </w:tblCellMar>
        </w:tblPrEx>
        <w:trPr>
          <w:trHeight w:val="90" w:hRule="atLeast"/>
        </w:trPr>
        <w:tc>
          <w:tcPr>
            <w:tcW w:w="15304" w:type="dxa"/>
            <w:gridSpan w:val="9"/>
            <w:tcBorders>
              <w:top w:val="nil"/>
              <w:left w:val="nil"/>
              <w:bottom w:val="nil"/>
              <w:right w:val="nil"/>
            </w:tcBorders>
            <w:shd w:val="clear" w:color="auto" w:fill="auto"/>
            <w:tcMar>
              <w:top w:w="15" w:type="dxa"/>
              <w:left w:w="15" w:type="dxa"/>
              <w:right w:w="15" w:type="dxa"/>
            </w:tcMar>
            <w:vAlign w:val="bottom"/>
          </w:tcPr>
          <w:p>
            <w:pPr>
              <w:spacing w:line="440" w:lineRule="exact"/>
              <w:jc w:val="center"/>
              <w:textAlignment w:val="bottom"/>
              <w:rPr>
                <w:rFonts w:hint="default" w:cs="宋体"/>
                <w:b/>
                <w:color w:val="000000"/>
                <w:sz w:val="32"/>
                <w:szCs w:val="32"/>
              </w:rPr>
            </w:pPr>
            <w:r>
              <w:rPr>
                <w:rFonts w:cs="宋体"/>
                <w:b/>
                <w:color w:val="000000"/>
                <w:sz w:val="32"/>
                <w:szCs w:val="32"/>
              </w:rPr>
              <w:t>一般公共预算财政拨款基本支出决算表</w:t>
            </w:r>
          </w:p>
        </w:tc>
      </w:tr>
      <w:tr>
        <w:tblPrEx>
          <w:tblLayout w:type="fixed"/>
          <w:tblCellMar>
            <w:top w:w="0" w:type="dxa"/>
            <w:left w:w="0" w:type="dxa"/>
            <w:bottom w:w="0" w:type="dxa"/>
            <w:right w:w="0" w:type="dxa"/>
          </w:tblCellMar>
        </w:tblPrEx>
        <w:trPr>
          <w:trHeight w:val="90" w:hRule="atLeast"/>
        </w:trPr>
        <w:tc>
          <w:tcPr>
            <w:tcW w:w="7453" w:type="dxa"/>
            <w:gridSpan w:val="5"/>
            <w:vMerge w:val="restart"/>
            <w:tcBorders>
              <w:top w:val="nil"/>
              <w:left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r>
              <w:rPr>
                <w:rFonts w:cs="宋体"/>
                <w:sz w:val="20"/>
                <w:szCs w:val="20"/>
              </w:rPr>
              <w:t>单位</w:t>
            </w:r>
            <w:r>
              <w:rPr>
                <w:rFonts w:cs="宋体"/>
                <w:color w:val="000000"/>
                <w:sz w:val="20"/>
                <w:szCs w:val="20"/>
              </w:rPr>
              <w:t>：</w:t>
            </w:r>
            <w:r>
              <w:rPr>
                <w:color w:val="000000"/>
                <w:sz w:val="20"/>
                <w:u w:color="auto"/>
              </w:rPr>
              <w:t>秀山土家族苗族自治县峨溶镇卫生院</w:t>
            </w:r>
          </w:p>
        </w:tc>
        <w:tc>
          <w:tcPr>
            <w:tcW w:w="1650"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805"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3514"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882" w:type="dxa"/>
            <w:tcBorders>
              <w:top w:val="nil"/>
              <w:left w:val="nil"/>
              <w:bottom w:val="nil"/>
              <w:right w:val="nil"/>
            </w:tcBorders>
            <w:shd w:val="clear" w:color="auto" w:fill="auto"/>
            <w:tcMar>
              <w:top w:w="15" w:type="dxa"/>
              <w:left w:w="15" w:type="dxa"/>
              <w:right w:w="15" w:type="dxa"/>
            </w:tcMar>
            <w:vAlign w:val="bottom"/>
          </w:tcPr>
          <w:p>
            <w:pPr>
              <w:spacing w:line="280" w:lineRule="exact"/>
              <w:jc w:val="right"/>
              <w:textAlignment w:val="bottom"/>
              <w:rPr>
                <w:rFonts w:hint="default" w:cs="宋体"/>
                <w:color w:val="000000"/>
                <w:sz w:val="20"/>
                <w:szCs w:val="20"/>
              </w:rPr>
            </w:pPr>
            <w:r>
              <w:rPr>
                <w:rFonts w:cs="宋体"/>
                <w:color w:val="000000"/>
                <w:sz w:val="20"/>
                <w:szCs w:val="20"/>
              </w:rPr>
              <w:t>公开</w:t>
            </w:r>
            <w:r>
              <w:rPr>
                <w:rFonts w:hint="default" w:ascii="Times New Roman" w:hAnsi="Times New Roman" w:cs="Times New Roman"/>
                <w:color w:val="000000"/>
                <w:sz w:val="20"/>
                <w:szCs w:val="20"/>
              </w:rPr>
              <w:t>06</w:t>
            </w:r>
            <w:r>
              <w:rPr>
                <w:rFonts w:cs="宋体"/>
                <w:color w:val="000000"/>
                <w:sz w:val="20"/>
                <w:szCs w:val="20"/>
              </w:rPr>
              <w:t>表</w:t>
            </w:r>
          </w:p>
        </w:tc>
      </w:tr>
      <w:tr>
        <w:tblPrEx>
          <w:tblLayout w:type="fixed"/>
          <w:tblCellMar>
            <w:top w:w="0" w:type="dxa"/>
            <w:left w:w="0" w:type="dxa"/>
            <w:bottom w:w="0" w:type="dxa"/>
            <w:right w:w="0" w:type="dxa"/>
          </w:tblCellMar>
        </w:tblPrEx>
        <w:trPr>
          <w:trHeight w:val="90" w:hRule="atLeast"/>
        </w:trPr>
        <w:tc>
          <w:tcPr>
            <w:tcW w:w="7453" w:type="dxa"/>
            <w:gridSpan w:val="5"/>
            <w:vMerge w:val="continue"/>
            <w:tcBorders>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650"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805"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3514"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882" w:type="dxa"/>
            <w:tcBorders>
              <w:top w:val="nil"/>
              <w:left w:val="nil"/>
              <w:bottom w:val="nil"/>
              <w:right w:val="nil"/>
            </w:tcBorders>
            <w:shd w:val="clear" w:color="auto" w:fill="auto"/>
            <w:tcMar>
              <w:top w:w="15" w:type="dxa"/>
              <w:left w:w="15" w:type="dxa"/>
              <w:right w:w="15" w:type="dxa"/>
            </w:tcMar>
            <w:vAlign w:val="bottom"/>
          </w:tcPr>
          <w:p>
            <w:pPr>
              <w:spacing w:line="280" w:lineRule="exact"/>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tblPrEx>
          <w:tblLayout w:type="fixed"/>
          <w:tblCellMar>
            <w:top w:w="0" w:type="dxa"/>
            <w:left w:w="0" w:type="dxa"/>
            <w:bottom w:w="0" w:type="dxa"/>
            <w:right w:w="0" w:type="dxa"/>
          </w:tblCellMar>
        </w:tblPrEx>
        <w:trPr>
          <w:trHeight w:val="90" w:hRule="atLeast"/>
        </w:trPr>
        <w:tc>
          <w:tcPr>
            <w:tcW w:w="4704"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人员经费</w:t>
            </w:r>
          </w:p>
        </w:tc>
        <w:tc>
          <w:tcPr>
            <w:tcW w:w="10600" w:type="dxa"/>
            <w:gridSpan w:val="6"/>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公用经费</w:t>
            </w:r>
          </w:p>
        </w:tc>
      </w:tr>
      <w:tr>
        <w:tblPrEx>
          <w:tblLayout w:type="fixed"/>
          <w:tblCellMar>
            <w:top w:w="0" w:type="dxa"/>
            <w:left w:w="0" w:type="dxa"/>
            <w:bottom w:w="0" w:type="dxa"/>
            <w:right w:w="0" w:type="dxa"/>
          </w:tblCellMar>
        </w:tblPrEx>
        <w:trPr>
          <w:trHeight w:val="312" w:hRule="atLeast"/>
        </w:trPr>
        <w:tc>
          <w:tcPr>
            <w:tcW w:w="603" w:type="dxa"/>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经济分类科目编码</w:t>
            </w:r>
          </w:p>
        </w:tc>
        <w:tc>
          <w:tcPr>
            <w:tcW w:w="2730"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经济分类科目（按“款”级功能分类科目）</w:t>
            </w:r>
          </w:p>
        </w:tc>
        <w:tc>
          <w:tcPr>
            <w:tcW w:w="1371"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金额</w:t>
            </w:r>
          </w:p>
        </w:tc>
        <w:tc>
          <w:tcPr>
            <w:tcW w:w="833" w:type="dxa"/>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经济分类科目编码</w:t>
            </w:r>
          </w:p>
        </w:tc>
        <w:tc>
          <w:tcPr>
            <w:tcW w:w="1916"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经济分类科目（按“款”级功能分类科目）</w:t>
            </w:r>
          </w:p>
        </w:tc>
        <w:tc>
          <w:tcPr>
            <w:tcW w:w="1650"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金额</w:t>
            </w:r>
          </w:p>
        </w:tc>
        <w:tc>
          <w:tcPr>
            <w:tcW w:w="805" w:type="dxa"/>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经济分类科目编码</w:t>
            </w:r>
          </w:p>
        </w:tc>
        <w:tc>
          <w:tcPr>
            <w:tcW w:w="3514"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经济分类科目（按“款”级功能分类科目）</w:t>
            </w:r>
          </w:p>
        </w:tc>
        <w:tc>
          <w:tcPr>
            <w:tcW w:w="1882"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金额</w:t>
            </w:r>
          </w:p>
        </w:tc>
      </w:tr>
      <w:tr>
        <w:tblPrEx>
          <w:tblLayout w:type="fixed"/>
          <w:tblCellMar>
            <w:top w:w="0" w:type="dxa"/>
            <w:left w:w="0" w:type="dxa"/>
            <w:bottom w:w="0" w:type="dxa"/>
            <w:right w:w="0" w:type="dxa"/>
          </w:tblCellMar>
        </w:tblPrEx>
        <w:trPr>
          <w:trHeight w:val="312" w:hRule="atLeast"/>
        </w:trPr>
        <w:tc>
          <w:tcPr>
            <w:tcW w:w="603"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cs="宋体"/>
                <w:b/>
                <w:color w:val="000000"/>
                <w:sz w:val="18"/>
                <w:szCs w:val="18"/>
              </w:rPr>
            </w:pPr>
          </w:p>
        </w:tc>
        <w:tc>
          <w:tcPr>
            <w:tcW w:w="2730"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cs="宋体"/>
                <w:b/>
                <w:color w:val="000000"/>
                <w:sz w:val="18"/>
                <w:szCs w:val="18"/>
              </w:rPr>
            </w:pPr>
          </w:p>
        </w:tc>
        <w:tc>
          <w:tcPr>
            <w:tcW w:w="1371"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cs="宋体"/>
                <w:b/>
                <w:color w:val="000000"/>
                <w:sz w:val="18"/>
                <w:szCs w:val="18"/>
              </w:rPr>
            </w:pPr>
          </w:p>
        </w:tc>
        <w:tc>
          <w:tcPr>
            <w:tcW w:w="833"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cs="宋体"/>
                <w:b/>
                <w:color w:val="000000"/>
                <w:sz w:val="18"/>
                <w:szCs w:val="18"/>
              </w:rPr>
            </w:pPr>
          </w:p>
        </w:tc>
        <w:tc>
          <w:tcPr>
            <w:tcW w:w="1916"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cs="宋体"/>
                <w:b/>
                <w:color w:val="000000"/>
                <w:sz w:val="18"/>
                <w:szCs w:val="18"/>
              </w:rPr>
            </w:pPr>
          </w:p>
        </w:tc>
        <w:tc>
          <w:tcPr>
            <w:tcW w:w="1650"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cs="宋体"/>
                <w:b/>
                <w:color w:val="000000"/>
                <w:sz w:val="18"/>
                <w:szCs w:val="18"/>
              </w:rPr>
            </w:pPr>
          </w:p>
        </w:tc>
        <w:tc>
          <w:tcPr>
            <w:tcW w:w="805"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cs="宋体"/>
                <w:b/>
                <w:color w:val="000000"/>
                <w:sz w:val="18"/>
                <w:szCs w:val="18"/>
              </w:rPr>
            </w:pPr>
          </w:p>
        </w:tc>
        <w:tc>
          <w:tcPr>
            <w:tcW w:w="3514"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cs="宋体"/>
                <w:b/>
                <w:color w:val="000000"/>
                <w:sz w:val="18"/>
                <w:szCs w:val="18"/>
              </w:rPr>
            </w:pPr>
          </w:p>
        </w:tc>
        <w:tc>
          <w:tcPr>
            <w:tcW w:w="1882"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cs="宋体"/>
                <w:b/>
                <w:color w:val="000000"/>
                <w:sz w:val="18"/>
                <w:szCs w:val="18"/>
              </w:rPr>
            </w:pP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301</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工资福利支出</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234.80</w:t>
            </w: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302</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商品和服务支出</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310</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资本性支出</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30101</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基本工资</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62.76</w:t>
            </w: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30201</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办公费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31001</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房屋建筑物购建</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30102</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津贴补贴</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24.57</w:t>
            </w: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30202</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印刷费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31002</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办公设备购置</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30103</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奖金</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30203</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咨询费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31003</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专用设备购置</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30106</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伙食补助费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30204</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手续费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31005</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基础设施建设</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30107</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绩效工资</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100.84</w:t>
            </w: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30205</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水费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31006</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大型修缮</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30108</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机关事业单位基本养老保险缴费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17.10</w:t>
            </w: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30206</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电费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31007</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信息网络及软件购置更新</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30109</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职业年金缴费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8.66</w:t>
            </w: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30207</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邮电费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31008</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物资储备</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30110</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职工基本医疗保险缴费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7.55</w:t>
            </w: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30208</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取暖费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31009</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土地补偿</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30111</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公务员医疗补助缴费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30209</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物业管理费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31010</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安置补助</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30112</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其他社会保障缴费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2.59</w:t>
            </w: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30211</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差旅费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31011</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地上附着物和青苗补偿</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30113</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住房公积金</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9.06</w:t>
            </w: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30212</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因公出国（境）费用</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31012</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拆迁补偿</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30114</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医疗费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30213</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维修（护）费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31013</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公务用车购置</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30199</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其他工资福利支出</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1.65</w:t>
            </w: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30214</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租赁费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31019</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其他交通工具购置</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303</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对个人和家庭的补助</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6.19</w:t>
            </w: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30215</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会议费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31021</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文物和陈列品购置</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30301</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离休费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30216</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培训费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31022</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无形资产购置</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30302</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退休费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30217</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公务接待费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31099</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其他资本性支出</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30303</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退职（役）费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30218</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专用材料费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312</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对企业补助</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30304</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抚恤金</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30224</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被装购置费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31201</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资本金注入</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30305</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生活补助</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5.19</w:t>
            </w: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30225</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专用燃料费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31203</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政府投资基金股权投资</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30306</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救济费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30226</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劳务费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31204</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费用补贴</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30307</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医疗费补助</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1.00</w:t>
            </w: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30227</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委托业务费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31205</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利息补贴</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30308</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助学金</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30228</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工会经费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31206</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ind w:firstLine="180" w:firstLineChars="100"/>
              <w:textAlignment w:val="center"/>
              <w:rPr>
                <w:rFonts w:hint="default" w:cs="宋体"/>
                <w:color w:val="000000"/>
                <w:sz w:val="18"/>
                <w:szCs w:val="18"/>
              </w:rPr>
            </w:pPr>
            <w:r>
              <w:rPr>
                <w:rFonts w:cs="宋体"/>
                <w:color w:val="000000"/>
                <w:sz w:val="18"/>
                <w:szCs w:val="18"/>
              </w:rPr>
              <w:t>其他资本性补助</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30309</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奖励金</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30229</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福利费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31299</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其他对企业补助</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30310</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个人农业生产补贴</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30231</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公务用车运行维护费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399</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其他支出</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30311</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代缴社会保险费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30239</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其他交通费用</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39907</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国家赔偿费用支出</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30399</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其他对个人和家庭的补助</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30240</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税金及附加费用</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39908</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对民间非营利组织和群众性自治组织补贴</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30299</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其他商品和服务支出</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39909</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经常性赠与</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307</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债务利息及费用支出</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39910</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资本性赠与</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30701</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国内债务付息</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39999</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其他支出</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30702</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国外债务付息</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30703</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国内债务发行费用</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r>
      <w:tr>
        <w:tblPrEx>
          <w:tblLayout w:type="fixed"/>
          <w:tblCellMar>
            <w:top w:w="0" w:type="dxa"/>
            <w:left w:w="0" w:type="dxa"/>
            <w:bottom w:w="0" w:type="dxa"/>
            <w:right w:w="0" w:type="dxa"/>
          </w:tblCellMar>
        </w:tblPrEx>
        <w:trPr>
          <w:trHeight w:val="155"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30704</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国外债务发行费用</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r>
      <w:tr>
        <w:tblPrEx>
          <w:tblLayout w:type="fixed"/>
          <w:tblCellMar>
            <w:top w:w="0" w:type="dxa"/>
            <w:left w:w="0" w:type="dxa"/>
            <w:bottom w:w="0" w:type="dxa"/>
            <w:right w:w="0" w:type="dxa"/>
          </w:tblCellMar>
        </w:tblPrEx>
        <w:trPr>
          <w:trHeight w:val="310" w:hRule="atLeast"/>
        </w:trPr>
        <w:tc>
          <w:tcPr>
            <w:tcW w:w="3333" w:type="dxa"/>
            <w:gridSpan w:val="2"/>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人员经费合计</w:t>
            </w:r>
          </w:p>
        </w:tc>
        <w:tc>
          <w:tcPr>
            <w:tcW w:w="1371"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wordWrap w:val="0"/>
              <w:spacing w:line="200" w:lineRule="exact"/>
              <w:jc w:val="right"/>
              <w:textAlignment w:val="bottom"/>
              <w:rPr>
                <w:rFonts w:hint="default" w:ascii="Times New Roman" w:hAnsi="Times New Roman"/>
                <w:color w:val="000000"/>
                <w:sz w:val="18"/>
                <w:szCs w:val="18"/>
              </w:rPr>
            </w:pPr>
            <w:r>
              <w:rPr>
                <w:rFonts w:hint="default" w:ascii="Times New Roman" w:hAnsi="Times New Roman"/>
                <w:color w:val="000000"/>
                <w:sz w:val="18"/>
                <w:szCs w:val="18"/>
              </w:rPr>
              <w:t>240.99</w:t>
            </w:r>
            <w:r>
              <w:rPr>
                <w:rFonts w:ascii="Times New Roman" w:hAnsi="Times New Roman"/>
                <w:color w:val="000000"/>
                <w:sz w:val="18"/>
                <w:u w:color="auto"/>
              </w:rPr>
              <w:t xml:space="preserve"> </w:t>
            </w:r>
          </w:p>
        </w:tc>
        <w:tc>
          <w:tcPr>
            <w:tcW w:w="8718" w:type="dxa"/>
            <w:gridSpan w:val="5"/>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公用经费合计</w:t>
            </w:r>
          </w:p>
        </w:tc>
        <w:tc>
          <w:tcPr>
            <w:tcW w:w="188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bl>
    <w:p>
      <w:pPr>
        <w:spacing w:line="280" w:lineRule="exact"/>
        <w:rPr>
          <w:rFonts w:hint="default" w:cs="宋体"/>
          <w:sz w:val="20"/>
          <w:szCs w:val="20"/>
        </w:rPr>
      </w:pPr>
      <w:r>
        <w:rPr>
          <w:rFonts w:cs="宋体"/>
          <w:sz w:val="20"/>
          <w:szCs w:val="20"/>
        </w:rPr>
        <w:t>备注：1.本表反映单位本年度一般公共预算财政拨款基本支出明细情况。</w:t>
      </w:r>
      <w:r>
        <w:rPr>
          <w:rFonts w:cs="宋体"/>
          <w:sz w:val="20"/>
          <w:szCs w:val="20"/>
        </w:rPr>
        <w:br w:type="textWrapping"/>
      </w:r>
      <w:r>
        <w:rPr>
          <w:rFonts w:cs="宋体"/>
          <w:sz w:val="20"/>
          <w:szCs w:val="20"/>
        </w:rPr>
        <w:t xml:space="preserve">      2.本套报表金额单位转换时可能存在尾数误差。</w:t>
      </w:r>
      <w:r>
        <w:rPr>
          <w:rFonts w:cs="宋体"/>
          <w:sz w:val="20"/>
          <w:szCs w:val="20"/>
        </w:rPr>
        <w:br w:type="textWrapping"/>
      </w:r>
      <w:r>
        <w:rPr>
          <w:rFonts w:cs="宋体"/>
          <w:sz w:val="20"/>
          <w:szCs w:val="20"/>
        </w:rPr>
        <w:br w:type="textWrapping"/>
      </w:r>
      <w:r>
        <w:rPr>
          <w:rFonts w:cs="宋体"/>
          <w:sz w:val="21"/>
          <w:szCs w:val="21"/>
        </w:rPr>
        <w:br w:type="page"/>
      </w:r>
    </w:p>
    <w:tbl>
      <w:tblPr>
        <w:tblStyle w:val="12"/>
        <w:tblW w:w="15322" w:type="dxa"/>
        <w:tblInd w:w="0" w:type="dxa"/>
        <w:tblLayout w:type="fixed"/>
        <w:tblCellMar>
          <w:top w:w="0" w:type="dxa"/>
          <w:left w:w="0" w:type="dxa"/>
          <w:bottom w:w="0" w:type="dxa"/>
          <w:right w:w="0" w:type="dxa"/>
        </w:tblCellMar>
      </w:tblPr>
      <w:tblGrid>
        <w:gridCol w:w="1635"/>
        <w:gridCol w:w="3285"/>
        <w:gridCol w:w="1701"/>
        <w:gridCol w:w="1701"/>
        <w:gridCol w:w="1701"/>
        <w:gridCol w:w="1701"/>
        <w:gridCol w:w="1765"/>
        <w:gridCol w:w="1833"/>
      </w:tblGrid>
      <w:tr>
        <w:tblPrEx>
          <w:tblLayout w:type="fixed"/>
          <w:tblCellMar>
            <w:top w:w="0" w:type="dxa"/>
            <w:left w:w="0" w:type="dxa"/>
            <w:bottom w:w="0" w:type="dxa"/>
            <w:right w:w="0" w:type="dxa"/>
          </w:tblCellMar>
        </w:tblPrEx>
        <w:trPr>
          <w:trHeight w:val="644" w:hRule="atLeast"/>
        </w:trPr>
        <w:tc>
          <w:tcPr>
            <w:tcW w:w="15322" w:type="dxa"/>
            <w:gridSpan w:val="8"/>
            <w:tcBorders>
              <w:top w:val="nil"/>
              <w:left w:val="nil"/>
              <w:bottom w:val="nil"/>
              <w:right w:val="nil"/>
            </w:tcBorders>
            <w:shd w:val="clear" w:color="auto" w:fill="auto"/>
            <w:tcMar>
              <w:top w:w="15" w:type="dxa"/>
              <w:left w:w="15" w:type="dxa"/>
              <w:right w:w="15" w:type="dxa"/>
            </w:tcMar>
            <w:vAlign w:val="bottom"/>
          </w:tcPr>
          <w:p>
            <w:pPr>
              <w:jc w:val="center"/>
              <w:textAlignment w:val="bottom"/>
              <w:rPr>
                <w:rFonts w:hint="default" w:cs="宋体"/>
                <w:b/>
                <w:color w:val="000000"/>
                <w:sz w:val="32"/>
                <w:szCs w:val="32"/>
              </w:rPr>
            </w:pPr>
            <w:r>
              <w:rPr>
                <w:rFonts w:cs="宋体"/>
                <w:b/>
                <w:color w:val="000000"/>
                <w:sz w:val="32"/>
                <w:szCs w:val="32"/>
              </w:rPr>
              <w:t>政府性基金预算财政拨款收入支出决算表</w:t>
            </w:r>
          </w:p>
        </w:tc>
      </w:tr>
      <w:tr>
        <w:tblPrEx>
          <w:tblLayout w:type="fixed"/>
          <w:tblCellMar>
            <w:top w:w="0" w:type="dxa"/>
            <w:left w:w="0" w:type="dxa"/>
            <w:bottom w:w="0" w:type="dxa"/>
            <w:right w:w="0" w:type="dxa"/>
          </w:tblCellMar>
        </w:tblPrEx>
        <w:trPr>
          <w:trHeight w:val="329" w:hRule="atLeast"/>
        </w:trPr>
        <w:tc>
          <w:tcPr>
            <w:tcW w:w="6621" w:type="dxa"/>
            <w:gridSpan w:val="3"/>
            <w:vMerge w:val="restart"/>
            <w:tcBorders>
              <w:top w:val="nil"/>
              <w:left w:val="nil"/>
              <w:right w:val="nil"/>
            </w:tcBorders>
            <w:shd w:val="clear" w:color="auto" w:fill="auto"/>
            <w:tcMar>
              <w:top w:w="15" w:type="dxa"/>
              <w:left w:w="15" w:type="dxa"/>
              <w:right w:w="15" w:type="dxa"/>
            </w:tcMar>
            <w:vAlign w:val="bottom"/>
          </w:tcPr>
          <w:p>
            <w:pPr>
              <w:rPr>
                <w:rFonts w:hint="default" w:cs="宋体"/>
                <w:color w:val="000000"/>
                <w:sz w:val="20"/>
                <w:szCs w:val="20"/>
              </w:rPr>
            </w:pPr>
            <w:r>
              <w:rPr>
                <w:rFonts w:cs="宋体"/>
                <w:sz w:val="20"/>
                <w:szCs w:val="20"/>
              </w:rPr>
              <w:t>单位</w:t>
            </w:r>
            <w:r>
              <w:rPr>
                <w:rFonts w:cs="宋体"/>
                <w:color w:val="000000"/>
                <w:sz w:val="20"/>
                <w:szCs w:val="20"/>
              </w:rPr>
              <w:t>：</w:t>
            </w:r>
            <w:r>
              <w:rPr>
                <w:color w:val="000000"/>
                <w:sz w:val="20"/>
                <w:u w:color="auto"/>
              </w:rPr>
              <w:t>秀山土家族苗族自治县峨溶镇卫生院</w:t>
            </w:r>
          </w:p>
        </w:tc>
        <w:tc>
          <w:tcPr>
            <w:tcW w:w="1701"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01"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01"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65"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833"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公开</w:t>
            </w:r>
            <w:r>
              <w:rPr>
                <w:rFonts w:hint="default" w:ascii="Times New Roman" w:hAnsi="Times New Roman" w:cs="Times New Roman"/>
                <w:color w:val="000000"/>
                <w:sz w:val="20"/>
                <w:szCs w:val="20"/>
              </w:rPr>
              <w:t>07</w:t>
            </w:r>
            <w:r>
              <w:rPr>
                <w:rFonts w:cs="宋体"/>
                <w:color w:val="000000"/>
                <w:sz w:val="20"/>
                <w:szCs w:val="20"/>
              </w:rPr>
              <w:t>表</w:t>
            </w:r>
          </w:p>
        </w:tc>
      </w:tr>
      <w:tr>
        <w:tblPrEx>
          <w:tblLayout w:type="fixed"/>
          <w:tblCellMar>
            <w:top w:w="0" w:type="dxa"/>
            <w:left w:w="0" w:type="dxa"/>
            <w:bottom w:w="0" w:type="dxa"/>
            <w:right w:w="0" w:type="dxa"/>
          </w:tblCellMar>
        </w:tblPrEx>
        <w:trPr>
          <w:trHeight w:val="329" w:hRule="atLeast"/>
        </w:trPr>
        <w:tc>
          <w:tcPr>
            <w:tcW w:w="6621" w:type="dxa"/>
            <w:gridSpan w:val="3"/>
            <w:vMerge w:val="continue"/>
            <w:tcBorders>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01"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01"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01"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65"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833"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tblPrEx>
          <w:tblLayout w:type="fixed"/>
          <w:tblCellMar>
            <w:top w:w="0" w:type="dxa"/>
            <w:left w:w="0" w:type="dxa"/>
            <w:bottom w:w="0" w:type="dxa"/>
            <w:right w:w="0" w:type="dxa"/>
          </w:tblCellMar>
        </w:tblPrEx>
        <w:trPr>
          <w:trHeight w:val="339" w:hRule="atLeast"/>
        </w:trPr>
        <w:tc>
          <w:tcPr>
            <w:tcW w:w="49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w:t>
            </w:r>
          </w:p>
        </w:tc>
        <w:tc>
          <w:tcPr>
            <w:tcW w:w="1701" w:type="dxa"/>
            <w:vMerge w:val="restart"/>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年初结转和结余</w:t>
            </w:r>
          </w:p>
        </w:tc>
        <w:tc>
          <w:tcPr>
            <w:tcW w:w="1701"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本年收入</w:t>
            </w:r>
          </w:p>
        </w:tc>
        <w:tc>
          <w:tcPr>
            <w:tcW w:w="5167" w:type="dxa"/>
            <w:gridSpan w:val="3"/>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本年支出</w:t>
            </w:r>
          </w:p>
        </w:tc>
        <w:tc>
          <w:tcPr>
            <w:tcW w:w="1833"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年末结转和结余</w:t>
            </w:r>
          </w:p>
        </w:tc>
      </w:tr>
      <w:tr>
        <w:tblPrEx>
          <w:tblLayout w:type="fixed"/>
          <w:tblCellMar>
            <w:top w:w="0" w:type="dxa"/>
            <w:left w:w="0" w:type="dxa"/>
            <w:bottom w:w="0" w:type="dxa"/>
            <w:right w:w="0" w:type="dxa"/>
          </w:tblCellMar>
        </w:tblPrEx>
        <w:trPr>
          <w:trHeight w:val="335" w:hRule="atLeast"/>
        </w:trPr>
        <w:tc>
          <w:tcPr>
            <w:tcW w:w="163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功能分类科目编码</w:t>
            </w:r>
          </w:p>
        </w:tc>
        <w:tc>
          <w:tcPr>
            <w:tcW w:w="328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项目（按“项”级功能分类科目）</w:t>
            </w:r>
          </w:p>
        </w:tc>
        <w:tc>
          <w:tcPr>
            <w:tcW w:w="1701" w:type="dxa"/>
            <w:vMerge w:val="continue"/>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70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701"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合计</w:t>
            </w:r>
          </w:p>
        </w:tc>
        <w:tc>
          <w:tcPr>
            <w:tcW w:w="1701"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基本支出</w:t>
            </w:r>
          </w:p>
        </w:tc>
        <w:tc>
          <w:tcPr>
            <w:tcW w:w="1765"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项目支出</w:t>
            </w:r>
          </w:p>
        </w:tc>
        <w:tc>
          <w:tcPr>
            <w:tcW w:w="183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35" w:hRule="atLeast"/>
        </w:trPr>
        <w:tc>
          <w:tcPr>
            <w:tcW w:w="163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28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701" w:type="dxa"/>
            <w:vMerge w:val="continue"/>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70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701"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701"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765"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83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645" w:hRule="atLeast"/>
        </w:trPr>
        <w:tc>
          <w:tcPr>
            <w:tcW w:w="163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28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701" w:type="dxa"/>
            <w:vMerge w:val="continue"/>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70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701"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701"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765"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83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39" w:hRule="atLeast"/>
        </w:trPr>
        <w:tc>
          <w:tcPr>
            <w:tcW w:w="4920" w:type="dxa"/>
            <w:gridSpan w:val="2"/>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合计</w:t>
            </w: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r>
              <w:rPr>
                <w:rFonts w:ascii="Times New Roman" w:hAnsi="Times New Roman"/>
                <w:b/>
                <w:color w:val="000000"/>
                <w:sz w:val="20"/>
                <w:u w:color="auto"/>
              </w:rPr>
              <w:t xml:space="preserve"> </w:t>
            </w: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r>
              <w:rPr>
                <w:rFonts w:ascii="Times New Roman" w:hAnsi="Times New Roman"/>
                <w:b/>
                <w:color w:val="000000"/>
                <w:sz w:val="20"/>
                <w:u w:color="auto"/>
              </w:rPr>
              <w:t xml:space="preserve"> </w:t>
            </w: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r>
              <w:rPr>
                <w:rFonts w:ascii="Times New Roman" w:hAnsi="Times New Roman"/>
                <w:b/>
                <w:color w:val="000000"/>
                <w:sz w:val="20"/>
                <w:u w:color="auto"/>
              </w:rPr>
              <w:t xml:space="preserve"> </w:t>
            </w: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r>
              <w:rPr>
                <w:rFonts w:ascii="Times New Roman" w:hAnsi="Times New Roman"/>
                <w:b/>
                <w:color w:val="000000"/>
                <w:sz w:val="20"/>
                <w:u w:color="auto"/>
              </w:rPr>
              <w:t xml:space="preserve"> </w:t>
            </w:r>
          </w:p>
        </w:tc>
        <w:tc>
          <w:tcPr>
            <w:tcW w:w="176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r>
              <w:rPr>
                <w:rFonts w:ascii="Times New Roman" w:hAnsi="Times New Roman"/>
                <w:b/>
                <w:color w:val="000000"/>
                <w:sz w:val="20"/>
                <w:u w:color="auto"/>
              </w:rPr>
              <w:t xml:space="preserve"> </w:t>
            </w:r>
          </w:p>
        </w:tc>
        <w:tc>
          <w:tcPr>
            <w:tcW w:w="183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49" w:hRule="atLeast"/>
        </w:trPr>
        <w:tc>
          <w:tcPr>
            <w:tcW w:w="1635"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both"/>
              <w:textAlignment w:val="center"/>
              <w:rPr>
                <w:rFonts w:hint="default" w:cs="宋体"/>
                <w:color w:val="000000"/>
                <w:sz w:val="20"/>
                <w:szCs w:val="20"/>
              </w:rPr>
            </w:pPr>
          </w:p>
        </w:tc>
        <w:tc>
          <w:tcPr>
            <w:tcW w:w="328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both"/>
              <w:textAlignment w:val="center"/>
              <w:rPr>
                <w:rFonts w:hint="default" w:cs="宋体"/>
                <w:color w:val="000000"/>
                <w:sz w:val="20"/>
                <w:szCs w:val="20"/>
              </w:rPr>
            </w:pP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76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83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bl>
    <w:p>
      <w:pPr>
        <w:rPr>
          <w:rFonts w:hint="default" w:cs="宋体"/>
          <w:sz w:val="21"/>
          <w:szCs w:val="21"/>
        </w:rPr>
      </w:pPr>
      <w:r>
        <w:rPr>
          <w:rFonts w:cs="宋体"/>
          <w:sz w:val="20"/>
          <w:szCs w:val="20"/>
        </w:rPr>
        <w:t>备注：本表反映单位本年度政府性基金预算财政拨款收入支出及结转和结余情况。本单位无政府性基金收支，故本表无数据。</w:t>
      </w:r>
      <w:r>
        <w:rPr>
          <w:rFonts w:cs="宋体"/>
          <w:sz w:val="20"/>
          <w:szCs w:val="20"/>
        </w:rPr>
        <w:br w:type="textWrapping"/>
      </w:r>
      <w:r>
        <w:rPr>
          <w:rFonts w:cs="宋体"/>
          <w:sz w:val="20"/>
          <w:szCs w:val="20"/>
        </w:rPr>
        <w:br w:type="textWrapping"/>
      </w:r>
    </w:p>
    <w:p>
      <w:pPr>
        <w:rPr>
          <w:rFonts w:hint="default" w:cs="宋体"/>
          <w:sz w:val="21"/>
          <w:szCs w:val="21"/>
        </w:rPr>
      </w:pPr>
      <w:r>
        <w:rPr>
          <w:rFonts w:cs="宋体"/>
          <w:sz w:val="21"/>
          <w:szCs w:val="21"/>
        </w:rPr>
        <w:br w:type="page"/>
      </w:r>
    </w:p>
    <w:tbl>
      <w:tblPr>
        <w:tblStyle w:val="12"/>
        <w:tblW w:w="15322" w:type="dxa"/>
        <w:tblInd w:w="0" w:type="dxa"/>
        <w:tblLayout w:type="fixed"/>
        <w:tblCellMar>
          <w:top w:w="0" w:type="dxa"/>
          <w:left w:w="0" w:type="dxa"/>
          <w:bottom w:w="0" w:type="dxa"/>
          <w:right w:w="0" w:type="dxa"/>
        </w:tblCellMar>
      </w:tblPr>
      <w:tblGrid>
        <w:gridCol w:w="2001"/>
        <w:gridCol w:w="2917"/>
        <w:gridCol w:w="3264"/>
        <w:gridCol w:w="199"/>
        <w:gridCol w:w="3463"/>
        <w:gridCol w:w="77"/>
        <w:gridCol w:w="3401"/>
      </w:tblGrid>
      <w:tr>
        <w:tblPrEx>
          <w:tblLayout w:type="fixed"/>
          <w:tblCellMar>
            <w:top w:w="0" w:type="dxa"/>
            <w:left w:w="0" w:type="dxa"/>
            <w:bottom w:w="0" w:type="dxa"/>
            <w:right w:w="0" w:type="dxa"/>
          </w:tblCellMar>
        </w:tblPrEx>
        <w:trPr>
          <w:trHeight w:val="650" w:hRule="atLeast"/>
        </w:trPr>
        <w:tc>
          <w:tcPr>
            <w:tcW w:w="15322" w:type="dxa"/>
            <w:gridSpan w:val="7"/>
            <w:tcBorders>
              <w:top w:val="nil"/>
              <w:left w:val="nil"/>
              <w:bottom w:val="nil"/>
              <w:right w:val="nil"/>
            </w:tcBorders>
            <w:shd w:val="clear" w:color="auto" w:fill="auto"/>
            <w:tcMar>
              <w:top w:w="15" w:type="dxa"/>
              <w:left w:w="15" w:type="dxa"/>
              <w:right w:w="15" w:type="dxa"/>
            </w:tcMar>
            <w:vAlign w:val="bottom"/>
          </w:tcPr>
          <w:p>
            <w:pPr>
              <w:jc w:val="center"/>
              <w:textAlignment w:val="bottom"/>
              <w:rPr>
                <w:rFonts w:hint="default" w:cs="宋体"/>
                <w:b/>
                <w:color w:val="000000"/>
                <w:sz w:val="32"/>
                <w:szCs w:val="32"/>
              </w:rPr>
            </w:pPr>
            <w:r>
              <w:rPr>
                <w:rFonts w:cs="宋体"/>
                <w:b/>
                <w:color w:val="000000"/>
                <w:sz w:val="32"/>
                <w:szCs w:val="32"/>
              </w:rPr>
              <w:t>国有资本经营预算财政拨款支出决算表</w:t>
            </w:r>
          </w:p>
        </w:tc>
      </w:tr>
      <w:tr>
        <w:tblPrEx>
          <w:tblLayout w:type="fixed"/>
          <w:tblCellMar>
            <w:top w:w="0" w:type="dxa"/>
            <w:left w:w="0" w:type="dxa"/>
            <w:bottom w:w="0" w:type="dxa"/>
            <w:right w:w="0" w:type="dxa"/>
          </w:tblCellMar>
        </w:tblPrEx>
        <w:trPr>
          <w:trHeight w:val="332" w:hRule="atLeast"/>
        </w:trPr>
        <w:tc>
          <w:tcPr>
            <w:tcW w:w="8182" w:type="dxa"/>
            <w:gridSpan w:val="3"/>
            <w:vMerge w:val="restart"/>
            <w:tcBorders>
              <w:top w:val="nil"/>
              <w:left w:val="nil"/>
              <w:right w:val="nil"/>
            </w:tcBorders>
            <w:shd w:val="clear" w:color="auto" w:fill="auto"/>
            <w:tcMar>
              <w:top w:w="15" w:type="dxa"/>
              <w:left w:w="15" w:type="dxa"/>
              <w:right w:w="15" w:type="dxa"/>
            </w:tcMar>
            <w:vAlign w:val="bottom"/>
          </w:tcPr>
          <w:p>
            <w:pPr>
              <w:rPr>
                <w:rFonts w:hint="default" w:cs="宋体"/>
                <w:color w:val="000000"/>
                <w:sz w:val="20"/>
                <w:szCs w:val="20"/>
              </w:rPr>
            </w:pPr>
            <w:r>
              <w:rPr>
                <w:rFonts w:cs="宋体"/>
                <w:sz w:val="20"/>
                <w:szCs w:val="20"/>
              </w:rPr>
              <w:t>单位</w:t>
            </w:r>
            <w:r>
              <w:rPr>
                <w:rFonts w:cs="宋体"/>
                <w:color w:val="000000"/>
                <w:sz w:val="20"/>
                <w:szCs w:val="20"/>
              </w:rPr>
              <w:t>：</w:t>
            </w:r>
            <w:r>
              <w:rPr>
                <w:color w:val="000000"/>
                <w:sz w:val="20"/>
                <w:u w:color="auto"/>
              </w:rPr>
              <w:t>秀山土家族苗族自治县峨溶镇卫生院</w:t>
            </w:r>
          </w:p>
        </w:tc>
        <w:tc>
          <w:tcPr>
            <w:tcW w:w="3739" w:type="dxa"/>
            <w:gridSpan w:val="3"/>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3401"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公开</w:t>
            </w:r>
            <w:r>
              <w:rPr>
                <w:rFonts w:hint="default" w:ascii="Times New Roman" w:hAnsi="Times New Roman" w:cs="Times New Roman"/>
                <w:color w:val="000000"/>
                <w:sz w:val="20"/>
                <w:szCs w:val="20"/>
              </w:rPr>
              <w:t>08</w:t>
            </w:r>
            <w:r>
              <w:rPr>
                <w:rFonts w:cs="宋体"/>
                <w:color w:val="000000"/>
                <w:sz w:val="20"/>
                <w:szCs w:val="20"/>
              </w:rPr>
              <w:t>表</w:t>
            </w:r>
          </w:p>
        </w:tc>
      </w:tr>
      <w:tr>
        <w:tblPrEx>
          <w:tblLayout w:type="fixed"/>
          <w:tblCellMar>
            <w:top w:w="0" w:type="dxa"/>
            <w:left w:w="0" w:type="dxa"/>
            <w:bottom w:w="0" w:type="dxa"/>
            <w:right w:w="0" w:type="dxa"/>
          </w:tblCellMar>
        </w:tblPrEx>
        <w:trPr>
          <w:trHeight w:val="332" w:hRule="atLeast"/>
        </w:trPr>
        <w:tc>
          <w:tcPr>
            <w:tcW w:w="8182" w:type="dxa"/>
            <w:gridSpan w:val="3"/>
            <w:vMerge w:val="continue"/>
            <w:tcBorders>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3739" w:type="dxa"/>
            <w:gridSpan w:val="3"/>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3401"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tblPrEx>
          <w:tblLayout w:type="fixed"/>
          <w:tblCellMar>
            <w:top w:w="0" w:type="dxa"/>
            <w:left w:w="0" w:type="dxa"/>
            <w:bottom w:w="0" w:type="dxa"/>
            <w:right w:w="0" w:type="dxa"/>
          </w:tblCellMar>
        </w:tblPrEx>
        <w:trPr>
          <w:trHeight w:val="422" w:hRule="atLeast"/>
        </w:trPr>
        <w:tc>
          <w:tcPr>
            <w:tcW w:w="491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jc w:val="center"/>
              <w:textAlignment w:val="bottom"/>
              <w:rPr>
                <w:rFonts w:hint="default" w:cs="宋体"/>
                <w:b/>
                <w:color w:val="000000"/>
                <w:sz w:val="20"/>
                <w:szCs w:val="20"/>
              </w:rPr>
            </w:pPr>
            <w:r>
              <w:rPr>
                <w:rFonts w:cs="宋体"/>
                <w:b/>
                <w:color w:val="000000"/>
                <w:sz w:val="20"/>
                <w:szCs w:val="20"/>
              </w:rPr>
              <w:t>项目</w:t>
            </w:r>
          </w:p>
        </w:tc>
        <w:tc>
          <w:tcPr>
            <w:tcW w:w="10404"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jc w:val="center"/>
              <w:textAlignment w:val="bottom"/>
              <w:rPr>
                <w:rFonts w:hint="default" w:cs="宋体"/>
                <w:b/>
                <w:color w:val="000000"/>
                <w:sz w:val="20"/>
                <w:szCs w:val="20"/>
              </w:rPr>
            </w:pPr>
            <w:r>
              <w:rPr>
                <w:rFonts w:cs="宋体"/>
                <w:b/>
                <w:color w:val="000000"/>
                <w:sz w:val="20"/>
                <w:szCs w:val="20"/>
              </w:rPr>
              <w:t>本年支出</w:t>
            </w:r>
          </w:p>
        </w:tc>
      </w:tr>
      <w:tr>
        <w:tblPrEx>
          <w:tblLayout w:type="fixed"/>
          <w:tblCellMar>
            <w:top w:w="0" w:type="dxa"/>
            <w:left w:w="0" w:type="dxa"/>
            <w:bottom w:w="0" w:type="dxa"/>
            <w:right w:w="0" w:type="dxa"/>
          </w:tblCellMar>
        </w:tblPrEx>
        <w:trPr>
          <w:trHeight w:val="339" w:hRule="atLeast"/>
        </w:trPr>
        <w:tc>
          <w:tcPr>
            <w:tcW w:w="2001" w:type="dxa"/>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功能分类科目编码</w:t>
            </w:r>
          </w:p>
        </w:tc>
        <w:tc>
          <w:tcPr>
            <w:tcW w:w="2917"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科目名称</w:t>
            </w:r>
          </w:p>
        </w:tc>
        <w:tc>
          <w:tcPr>
            <w:tcW w:w="3463" w:type="dxa"/>
            <w:gridSpan w:val="2"/>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合计</w:t>
            </w:r>
          </w:p>
        </w:tc>
        <w:tc>
          <w:tcPr>
            <w:tcW w:w="3463"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基本支出</w:t>
            </w:r>
          </w:p>
        </w:tc>
        <w:tc>
          <w:tcPr>
            <w:tcW w:w="3478" w:type="dxa"/>
            <w:gridSpan w:val="2"/>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项目支出</w:t>
            </w:r>
          </w:p>
        </w:tc>
      </w:tr>
      <w:tr>
        <w:tblPrEx>
          <w:tblLayout w:type="fixed"/>
          <w:tblCellMar>
            <w:top w:w="0" w:type="dxa"/>
            <w:left w:w="0" w:type="dxa"/>
            <w:bottom w:w="0" w:type="dxa"/>
            <w:right w:w="0" w:type="dxa"/>
          </w:tblCellMar>
        </w:tblPrEx>
        <w:trPr>
          <w:trHeight w:val="339" w:hRule="atLeast"/>
        </w:trPr>
        <w:tc>
          <w:tcPr>
            <w:tcW w:w="2001"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2917"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463" w:type="dxa"/>
            <w:gridSpan w:val="2"/>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463"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478" w:type="dxa"/>
            <w:gridSpan w:val="2"/>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39" w:hRule="atLeast"/>
        </w:trPr>
        <w:tc>
          <w:tcPr>
            <w:tcW w:w="2001"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2917"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463" w:type="dxa"/>
            <w:gridSpan w:val="2"/>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463"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478" w:type="dxa"/>
            <w:gridSpan w:val="2"/>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26" w:hRule="atLeast"/>
        </w:trPr>
        <w:tc>
          <w:tcPr>
            <w:tcW w:w="2001"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2917"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463" w:type="dxa"/>
            <w:gridSpan w:val="2"/>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463"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478" w:type="dxa"/>
            <w:gridSpan w:val="2"/>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611" w:hRule="atLeast"/>
        </w:trPr>
        <w:tc>
          <w:tcPr>
            <w:tcW w:w="491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合计</w:t>
            </w:r>
          </w:p>
        </w:tc>
        <w:tc>
          <w:tcPr>
            <w:tcW w:w="3463"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r>
              <w:rPr>
                <w:rFonts w:ascii="Times New Roman" w:hAnsi="Times New Roman"/>
                <w:b/>
                <w:color w:val="000000"/>
                <w:sz w:val="20"/>
                <w:u w:color="auto"/>
              </w:rPr>
              <w:t xml:space="preserve"> </w:t>
            </w:r>
          </w:p>
        </w:tc>
        <w:tc>
          <w:tcPr>
            <w:tcW w:w="346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right"/>
              <w:rPr>
                <w:rFonts w:hint="default" w:ascii="Times New Roman" w:hAnsi="Times New Roman"/>
                <w:b/>
                <w:color w:val="000000"/>
                <w:sz w:val="20"/>
                <w:szCs w:val="20"/>
              </w:rPr>
            </w:pPr>
          </w:p>
        </w:tc>
        <w:tc>
          <w:tcPr>
            <w:tcW w:w="3478"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488" w:hRule="atLeast"/>
        </w:trPr>
        <w:tc>
          <w:tcPr>
            <w:tcW w:w="2001"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p>
        </w:tc>
        <w:tc>
          <w:tcPr>
            <w:tcW w:w="291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p>
        </w:tc>
        <w:tc>
          <w:tcPr>
            <w:tcW w:w="3463"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 xml:space="preserve">0.00 </w:t>
            </w:r>
          </w:p>
        </w:tc>
        <w:tc>
          <w:tcPr>
            <w:tcW w:w="346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right"/>
              <w:rPr>
                <w:rFonts w:hint="default" w:ascii="Times New Roman" w:hAnsi="Times New Roman"/>
                <w:b/>
                <w:color w:val="000000"/>
                <w:sz w:val="20"/>
                <w:szCs w:val="20"/>
              </w:rPr>
            </w:pPr>
          </w:p>
        </w:tc>
        <w:tc>
          <w:tcPr>
            <w:tcW w:w="3478"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 xml:space="preserve">0.00 </w:t>
            </w:r>
          </w:p>
        </w:tc>
      </w:tr>
    </w:tbl>
    <w:p>
      <w:pPr>
        <w:rPr>
          <w:rFonts w:hint="default" w:cs="宋体"/>
          <w:sz w:val="21"/>
          <w:szCs w:val="21"/>
        </w:rPr>
      </w:pPr>
      <w:r>
        <w:rPr>
          <w:rFonts w:cs="宋体"/>
          <w:sz w:val="20"/>
          <w:szCs w:val="20"/>
        </w:rPr>
        <w:t>备注：本表反映单位本年度国有资本经营预算财政拨款支出情况。本单位无国有资本经营收支，故本表无数据。</w:t>
      </w:r>
      <w:r>
        <w:rPr>
          <w:rFonts w:cs="宋体"/>
          <w:sz w:val="20"/>
          <w:szCs w:val="20"/>
        </w:rPr>
        <w:br w:type="textWrapping"/>
      </w:r>
      <w:r>
        <w:rPr>
          <w:rFonts w:cs="宋体"/>
          <w:sz w:val="20"/>
          <w:szCs w:val="20"/>
        </w:rPr>
        <w:br w:type="textWrapping"/>
      </w:r>
    </w:p>
    <w:p>
      <w:pPr>
        <w:rPr>
          <w:rFonts w:hint="default" w:cs="宋体"/>
          <w:sz w:val="21"/>
          <w:szCs w:val="21"/>
        </w:rPr>
      </w:pPr>
      <w:r>
        <w:rPr>
          <w:rFonts w:hint="default" w:cs="宋体"/>
          <w:sz w:val="21"/>
          <w:szCs w:val="21"/>
        </w:rPr>
        <w:br w:type="page"/>
      </w:r>
    </w:p>
    <w:tbl>
      <w:tblPr>
        <w:tblStyle w:val="12"/>
        <w:tblW w:w="14131" w:type="dxa"/>
        <w:tblInd w:w="0" w:type="dxa"/>
        <w:tblLayout w:type="fixed"/>
        <w:tblCellMar>
          <w:top w:w="0" w:type="dxa"/>
          <w:left w:w="170" w:type="dxa"/>
          <w:bottom w:w="0" w:type="dxa"/>
          <w:right w:w="170" w:type="dxa"/>
        </w:tblCellMar>
      </w:tblPr>
      <w:tblGrid>
        <w:gridCol w:w="3179"/>
        <w:gridCol w:w="2416"/>
        <w:gridCol w:w="2375"/>
        <w:gridCol w:w="3674"/>
        <w:gridCol w:w="2487"/>
      </w:tblGrid>
      <w:tr>
        <w:tblPrEx>
          <w:tblLayout w:type="fixed"/>
          <w:tblCellMar>
            <w:top w:w="0" w:type="dxa"/>
            <w:left w:w="170" w:type="dxa"/>
            <w:bottom w:w="0" w:type="dxa"/>
            <w:right w:w="170" w:type="dxa"/>
          </w:tblCellMar>
        </w:tblPrEx>
        <w:trPr>
          <w:trHeight w:val="343" w:hRule="atLeast"/>
        </w:trPr>
        <w:tc>
          <w:tcPr>
            <w:tcW w:w="14131" w:type="dxa"/>
            <w:gridSpan w:val="5"/>
            <w:shd w:val="clear" w:color="auto" w:fill="auto"/>
            <w:tcMar>
              <w:top w:w="15" w:type="dxa"/>
              <w:left w:w="15" w:type="dxa"/>
              <w:right w:w="15" w:type="dxa"/>
            </w:tcMar>
            <w:vAlign w:val="bottom"/>
          </w:tcPr>
          <w:p>
            <w:pPr>
              <w:spacing w:line="400" w:lineRule="exact"/>
              <w:jc w:val="center"/>
              <w:textAlignment w:val="bottom"/>
              <w:rPr>
                <w:rFonts w:hint="default" w:cs="宋体"/>
                <w:b/>
                <w:color w:val="000000"/>
                <w:kern w:val="2"/>
                <w:sz w:val="32"/>
                <w:szCs w:val="32"/>
              </w:rPr>
            </w:pPr>
            <w:r>
              <w:rPr>
                <w:rFonts w:cs="宋体"/>
                <w:b/>
                <w:color w:val="000000"/>
                <w:kern w:val="2"/>
                <w:sz w:val="32"/>
                <w:szCs w:val="32"/>
              </w:rPr>
              <w:t>机构运行信息表</w:t>
            </w:r>
          </w:p>
        </w:tc>
      </w:tr>
      <w:tr>
        <w:tblPrEx>
          <w:tblLayout w:type="fixed"/>
          <w:tblCellMar>
            <w:top w:w="0" w:type="dxa"/>
            <w:left w:w="170" w:type="dxa"/>
            <w:bottom w:w="0" w:type="dxa"/>
            <w:right w:w="170" w:type="dxa"/>
          </w:tblCellMar>
        </w:tblPrEx>
        <w:trPr>
          <w:trHeight w:val="244" w:hRule="atLeast"/>
        </w:trPr>
        <w:tc>
          <w:tcPr>
            <w:tcW w:w="3179" w:type="dxa"/>
            <w:shd w:val="clear" w:color="auto" w:fill="auto"/>
            <w:tcMar>
              <w:top w:w="15" w:type="dxa"/>
              <w:left w:w="15" w:type="dxa"/>
              <w:right w:w="15" w:type="dxa"/>
            </w:tcMar>
            <w:vAlign w:val="bottom"/>
          </w:tcPr>
          <w:p>
            <w:pPr>
              <w:spacing w:line="280" w:lineRule="exact"/>
              <w:rPr>
                <w:rFonts w:hint="default" w:cs="宋体"/>
                <w:color w:val="000000"/>
                <w:kern w:val="2"/>
                <w:sz w:val="20"/>
                <w:szCs w:val="20"/>
              </w:rPr>
            </w:pPr>
          </w:p>
        </w:tc>
        <w:tc>
          <w:tcPr>
            <w:tcW w:w="2416" w:type="dxa"/>
            <w:shd w:val="clear" w:color="auto" w:fill="auto"/>
            <w:tcMar>
              <w:top w:w="15" w:type="dxa"/>
              <w:left w:w="15" w:type="dxa"/>
              <w:right w:w="15" w:type="dxa"/>
            </w:tcMar>
            <w:vAlign w:val="bottom"/>
          </w:tcPr>
          <w:p>
            <w:pPr>
              <w:spacing w:line="280" w:lineRule="exact"/>
              <w:jc w:val="center"/>
              <w:rPr>
                <w:rFonts w:hint="default" w:cs="宋体"/>
                <w:color w:val="000000"/>
                <w:kern w:val="2"/>
                <w:sz w:val="20"/>
                <w:szCs w:val="20"/>
              </w:rPr>
            </w:pPr>
          </w:p>
        </w:tc>
        <w:tc>
          <w:tcPr>
            <w:tcW w:w="2375" w:type="dxa"/>
            <w:shd w:val="clear" w:color="auto" w:fill="auto"/>
            <w:tcMar>
              <w:top w:w="15" w:type="dxa"/>
              <w:left w:w="15" w:type="dxa"/>
              <w:right w:w="15" w:type="dxa"/>
            </w:tcMar>
            <w:vAlign w:val="bottom"/>
          </w:tcPr>
          <w:p>
            <w:pPr>
              <w:spacing w:line="280" w:lineRule="exact"/>
              <w:jc w:val="right"/>
              <w:rPr>
                <w:rFonts w:hint="default" w:cs="宋体"/>
                <w:color w:val="000000"/>
                <w:kern w:val="2"/>
                <w:sz w:val="20"/>
                <w:szCs w:val="20"/>
              </w:rPr>
            </w:pPr>
          </w:p>
        </w:tc>
        <w:tc>
          <w:tcPr>
            <w:tcW w:w="3674" w:type="dxa"/>
            <w:shd w:val="clear" w:color="auto" w:fill="auto"/>
            <w:tcMar>
              <w:top w:w="15" w:type="dxa"/>
              <w:left w:w="15" w:type="dxa"/>
              <w:right w:w="15" w:type="dxa"/>
            </w:tcMar>
            <w:vAlign w:val="bottom"/>
          </w:tcPr>
          <w:p>
            <w:pPr>
              <w:spacing w:line="280" w:lineRule="exact"/>
              <w:rPr>
                <w:rFonts w:hint="default" w:cs="宋体"/>
                <w:color w:val="000000"/>
                <w:kern w:val="2"/>
                <w:sz w:val="20"/>
                <w:szCs w:val="20"/>
              </w:rPr>
            </w:pPr>
          </w:p>
        </w:tc>
        <w:tc>
          <w:tcPr>
            <w:tcW w:w="2487" w:type="dxa"/>
            <w:shd w:val="clear" w:color="auto" w:fill="auto"/>
            <w:tcMar>
              <w:top w:w="15" w:type="dxa"/>
              <w:left w:w="15" w:type="dxa"/>
              <w:right w:w="15" w:type="dxa"/>
            </w:tcMar>
            <w:vAlign w:val="bottom"/>
          </w:tcPr>
          <w:p>
            <w:pPr>
              <w:spacing w:line="280" w:lineRule="exact"/>
              <w:jc w:val="right"/>
              <w:textAlignment w:val="bottom"/>
              <w:rPr>
                <w:rFonts w:hint="default" w:cs="宋体"/>
                <w:color w:val="000000"/>
                <w:kern w:val="2"/>
                <w:sz w:val="20"/>
                <w:szCs w:val="20"/>
              </w:rPr>
            </w:pPr>
            <w:r>
              <w:rPr>
                <w:rFonts w:cs="宋体"/>
                <w:color w:val="000000"/>
                <w:kern w:val="2"/>
                <w:sz w:val="20"/>
                <w:szCs w:val="20"/>
              </w:rPr>
              <w:t>公开</w:t>
            </w:r>
            <w:r>
              <w:rPr>
                <w:rFonts w:hint="default" w:ascii="Times New Roman" w:hAnsi="Times New Roman"/>
                <w:color w:val="000000"/>
                <w:kern w:val="2"/>
                <w:sz w:val="20"/>
                <w:szCs w:val="20"/>
              </w:rPr>
              <w:t>09</w:t>
            </w:r>
            <w:r>
              <w:rPr>
                <w:rFonts w:cs="宋体"/>
                <w:color w:val="000000"/>
                <w:kern w:val="2"/>
                <w:sz w:val="20"/>
                <w:szCs w:val="20"/>
              </w:rPr>
              <w:t>表</w:t>
            </w:r>
          </w:p>
        </w:tc>
      </w:tr>
      <w:tr>
        <w:tblPrEx>
          <w:tblLayout w:type="fixed"/>
          <w:tblCellMar>
            <w:top w:w="0" w:type="dxa"/>
            <w:left w:w="170" w:type="dxa"/>
            <w:bottom w:w="0" w:type="dxa"/>
            <w:right w:w="170" w:type="dxa"/>
          </w:tblCellMar>
        </w:tblPrEx>
        <w:trPr>
          <w:trHeight w:val="244" w:hRule="atLeast"/>
        </w:trPr>
        <w:tc>
          <w:tcPr>
            <w:tcW w:w="5595" w:type="dxa"/>
            <w:gridSpan w:val="2"/>
            <w:tcBorders>
              <w:top w:val="nil"/>
              <w:left w:val="nil"/>
              <w:bottom w:val="single" w:color="auto" w:sz="4" w:space="0"/>
              <w:right w:val="nil"/>
            </w:tcBorders>
            <w:shd w:val="clear" w:color="auto" w:fill="auto"/>
            <w:tcMar>
              <w:top w:w="15" w:type="dxa"/>
              <w:left w:w="15" w:type="dxa"/>
              <w:right w:w="15" w:type="dxa"/>
            </w:tcMar>
            <w:vAlign w:val="bottom"/>
          </w:tcPr>
          <w:p>
            <w:pPr>
              <w:spacing w:line="280" w:lineRule="exact"/>
              <w:rPr>
                <w:rFonts w:hint="default" w:cs="宋体"/>
                <w:color w:val="000000"/>
                <w:kern w:val="2"/>
                <w:sz w:val="20"/>
                <w:szCs w:val="20"/>
              </w:rPr>
            </w:pPr>
            <w:r>
              <w:rPr>
                <w:rFonts w:hint="eastAsia" w:cs="宋体"/>
                <w:kern w:val="2"/>
                <w:sz w:val="20"/>
                <w:szCs w:val="20"/>
                <w:lang w:eastAsia="zh-CN"/>
              </w:rPr>
              <w:t>单位</w:t>
            </w:r>
            <w:r>
              <w:rPr>
                <w:rFonts w:cs="宋体"/>
                <w:color w:val="000000"/>
                <w:kern w:val="2"/>
                <w:sz w:val="20"/>
                <w:szCs w:val="20"/>
              </w:rPr>
              <w:t>：</w:t>
            </w:r>
            <w:r>
              <w:rPr>
                <w:color w:val="000000"/>
                <w:sz w:val="20"/>
                <w:u w:color="auto"/>
              </w:rPr>
              <w:t>秀山土家族苗族自治县峨溶镇卫生院</w:t>
            </w:r>
          </w:p>
        </w:tc>
        <w:tc>
          <w:tcPr>
            <w:tcW w:w="2375" w:type="dxa"/>
            <w:tcBorders>
              <w:top w:val="nil"/>
              <w:left w:val="nil"/>
              <w:bottom w:val="single" w:color="auto" w:sz="4" w:space="0"/>
              <w:right w:val="nil"/>
            </w:tcBorders>
            <w:shd w:val="clear" w:color="auto" w:fill="auto"/>
            <w:tcMar>
              <w:top w:w="15" w:type="dxa"/>
              <w:left w:w="15" w:type="dxa"/>
              <w:right w:w="15" w:type="dxa"/>
            </w:tcMar>
            <w:vAlign w:val="bottom"/>
          </w:tcPr>
          <w:p>
            <w:pPr>
              <w:spacing w:line="280" w:lineRule="exact"/>
              <w:jc w:val="right"/>
              <w:rPr>
                <w:rFonts w:hint="default" w:cs="宋体"/>
                <w:color w:val="000000"/>
                <w:kern w:val="2"/>
                <w:sz w:val="20"/>
                <w:szCs w:val="20"/>
              </w:rPr>
            </w:pPr>
          </w:p>
        </w:tc>
        <w:tc>
          <w:tcPr>
            <w:tcW w:w="3674" w:type="dxa"/>
            <w:tcBorders>
              <w:top w:val="nil"/>
              <w:left w:val="nil"/>
              <w:bottom w:val="single" w:color="auto" w:sz="4" w:space="0"/>
              <w:right w:val="nil"/>
            </w:tcBorders>
            <w:shd w:val="clear" w:color="auto" w:fill="auto"/>
            <w:tcMar>
              <w:top w:w="15" w:type="dxa"/>
              <w:left w:w="15" w:type="dxa"/>
              <w:right w:w="15" w:type="dxa"/>
            </w:tcMar>
            <w:vAlign w:val="bottom"/>
          </w:tcPr>
          <w:p>
            <w:pPr>
              <w:spacing w:line="280" w:lineRule="exact"/>
              <w:rPr>
                <w:rFonts w:hint="default" w:cs="宋体"/>
                <w:color w:val="000000"/>
                <w:kern w:val="2"/>
                <w:sz w:val="20"/>
                <w:szCs w:val="20"/>
              </w:rPr>
            </w:pPr>
          </w:p>
        </w:tc>
        <w:tc>
          <w:tcPr>
            <w:tcW w:w="2487" w:type="dxa"/>
            <w:tcBorders>
              <w:top w:val="nil"/>
              <w:left w:val="nil"/>
              <w:bottom w:val="single" w:color="auto" w:sz="4" w:space="0"/>
              <w:right w:val="nil"/>
            </w:tcBorders>
            <w:shd w:val="clear" w:color="auto" w:fill="auto"/>
            <w:tcMar>
              <w:top w:w="15" w:type="dxa"/>
              <w:left w:w="15" w:type="dxa"/>
              <w:right w:w="15" w:type="dxa"/>
            </w:tcMar>
            <w:vAlign w:val="bottom"/>
          </w:tcPr>
          <w:p>
            <w:pPr>
              <w:spacing w:line="280" w:lineRule="exact"/>
              <w:jc w:val="right"/>
              <w:textAlignment w:val="bottom"/>
              <w:rPr>
                <w:rFonts w:hint="default" w:cs="宋体"/>
                <w:color w:val="000000"/>
                <w:kern w:val="2"/>
                <w:sz w:val="20"/>
                <w:szCs w:val="20"/>
              </w:rPr>
            </w:pPr>
            <w:r>
              <w:rPr>
                <w:rFonts w:cs="宋体"/>
                <w:color w:val="000000"/>
                <w:kern w:val="2"/>
                <w:sz w:val="20"/>
                <w:szCs w:val="20"/>
              </w:rPr>
              <w:t>单位：</w:t>
            </w:r>
            <w:r>
              <w:rPr>
                <w:rFonts w:cs="宋体"/>
                <w:kern w:val="2"/>
                <w:sz w:val="20"/>
                <w:szCs w:val="20"/>
              </w:rPr>
              <w:t>万元</w:t>
            </w:r>
          </w:p>
        </w:tc>
      </w:tr>
      <w:tr>
        <w:tblPrEx>
          <w:tblLayout w:type="fixed"/>
          <w:tblCellMar>
            <w:top w:w="0" w:type="dxa"/>
            <w:left w:w="170" w:type="dxa"/>
            <w:bottom w:w="0" w:type="dxa"/>
            <w:right w:w="170" w:type="dxa"/>
          </w:tblCellMar>
        </w:tblPrEx>
        <w:trPr>
          <w:trHeight w:val="28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cs="宋体"/>
                <w:b/>
                <w:color w:val="000000"/>
                <w:kern w:val="2"/>
                <w:sz w:val="16"/>
                <w:szCs w:val="16"/>
              </w:rPr>
            </w:pPr>
            <w:r>
              <w:rPr>
                <w:rFonts w:cs="宋体"/>
                <w:b/>
                <w:color w:val="000000"/>
                <w:kern w:val="2"/>
                <w:sz w:val="16"/>
                <w:szCs w:val="16"/>
              </w:rPr>
              <w:t>项  目</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cs="宋体"/>
                <w:b/>
                <w:color w:val="000000"/>
                <w:kern w:val="2"/>
                <w:sz w:val="16"/>
                <w:szCs w:val="16"/>
              </w:rPr>
            </w:pPr>
            <w:r>
              <w:rPr>
                <w:rFonts w:cs="宋体"/>
                <w:b/>
                <w:color w:val="000000"/>
                <w:kern w:val="2"/>
                <w:sz w:val="16"/>
                <w:szCs w:val="16"/>
              </w:rPr>
              <w:t>预算数</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cs="宋体"/>
                <w:b/>
                <w:color w:val="000000"/>
                <w:kern w:val="2"/>
                <w:sz w:val="16"/>
                <w:szCs w:val="16"/>
              </w:rPr>
            </w:pPr>
            <w:r>
              <w:rPr>
                <w:rFonts w:cs="宋体"/>
                <w:b/>
                <w:color w:val="000000"/>
                <w:kern w:val="2"/>
                <w:sz w:val="16"/>
                <w:szCs w:val="16"/>
              </w:rPr>
              <w:t>决算数</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cs="宋体"/>
                <w:b/>
                <w:color w:val="000000"/>
                <w:kern w:val="2"/>
                <w:sz w:val="16"/>
                <w:szCs w:val="16"/>
              </w:rPr>
            </w:pPr>
            <w:r>
              <w:rPr>
                <w:rFonts w:cs="宋体"/>
                <w:b/>
                <w:color w:val="000000"/>
                <w:kern w:val="2"/>
                <w:sz w:val="16"/>
                <w:szCs w:val="16"/>
              </w:rPr>
              <w:t>项  目</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cs="宋体"/>
                <w:b/>
                <w:color w:val="000000"/>
                <w:kern w:val="2"/>
                <w:sz w:val="16"/>
                <w:szCs w:val="16"/>
              </w:rPr>
            </w:pPr>
            <w:r>
              <w:rPr>
                <w:rFonts w:cs="宋体"/>
                <w:b/>
                <w:color w:val="000000"/>
                <w:kern w:val="2"/>
                <w:sz w:val="16"/>
                <w:szCs w:val="16"/>
              </w:rPr>
              <w:t>决算数</w:t>
            </w:r>
          </w:p>
        </w:tc>
      </w:tr>
      <w:tr>
        <w:tblPrEx>
          <w:tblLayout w:type="fixed"/>
          <w:tblCellMar>
            <w:top w:w="0" w:type="dxa"/>
            <w:left w:w="170" w:type="dxa"/>
            <w:bottom w:w="0" w:type="dxa"/>
            <w:right w:w="170" w:type="dxa"/>
          </w:tblCellMar>
        </w:tblPrEx>
        <w:trPr>
          <w:trHeight w:val="28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color w:val="000000"/>
                <w:kern w:val="2"/>
                <w:sz w:val="16"/>
                <w:szCs w:val="16"/>
              </w:rPr>
            </w:pPr>
            <w:r>
              <w:rPr>
                <w:rFonts w:cs="宋体"/>
                <w:b/>
                <w:color w:val="000000"/>
                <w:kern w:val="2"/>
                <w:sz w:val="16"/>
                <w:szCs w:val="16"/>
              </w:rPr>
              <w:t>一、“三公”经费支出</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color w:val="000000"/>
                <w:kern w:val="2"/>
                <w:sz w:val="16"/>
                <w:szCs w:val="16"/>
              </w:rPr>
            </w:pPr>
            <w:r>
              <w:rPr>
                <w:rFonts w:cs="宋体"/>
                <w:b/>
                <w:color w:val="000000"/>
                <w:kern w:val="2"/>
                <w:sz w:val="16"/>
                <w:szCs w:val="16"/>
              </w:rPr>
              <w:t>五、机关运行经费</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（一）支出合计</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（一）行政单位</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1．因公出国（境）费</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（二）参照公务员法管理事业单位</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2．公务用车购置及运行维护费</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六、资产信息</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ind w:right="120" w:rightChars="50"/>
              <w:jc w:val="center"/>
              <w:textAlignment w:val="center"/>
              <w:rPr>
                <w:rFonts w:hint="default" w:ascii="Times New Roman" w:hAnsi="Times New Roman"/>
                <w:color w:val="000000"/>
                <w:sz w:val="18"/>
                <w:szCs w:val="18"/>
              </w:rPr>
            </w:pPr>
            <w:r>
              <w:rPr>
                <w:rFonts w:hint="default" w:ascii="Times New Roman" w:hAnsi="Times New Roman"/>
                <w:color w:val="000000"/>
                <w:sz w:val="18"/>
                <w:szCs w:val="18"/>
              </w:rPr>
              <w:t>—</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（1）公务用车购置费</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（一）车辆数合计（辆）</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hint="default" w:ascii="Times New Roman" w:hAnsi="Times New Roman"/>
                <w:color w:val="000000"/>
                <w:sz w:val="18"/>
                <w:szCs w:val="18"/>
              </w:rPr>
              <w:t>1</w:t>
            </w:r>
            <w:r>
              <w:rPr>
                <w:rFonts w:ascii="Times New Roman" w:hAnsi="Times New Roman"/>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（2）公务用车运行维护费</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1．副部（省）级及以上领导用车</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3．公务接待费</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2．主要领导干部用车</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（1）国内接待费</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3．机要通信用车</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其中：外事接待费</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4．应急保障用车</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（2）国（境）外接待费</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5．执法执勤用车</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（二）相关统计数</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ind w:right="120" w:rightChars="50"/>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6．特种专业技术用车</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hint="default" w:ascii="Times New Roman" w:hAnsi="Times New Roman"/>
                <w:color w:val="000000"/>
                <w:sz w:val="18"/>
                <w:szCs w:val="18"/>
              </w:rPr>
              <w:t>1</w:t>
            </w:r>
            <w:r>
              <w:rPr>
                <w:rFonts w:ascii="Times New Roman" w:hAnsi="Times New Roman"/>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1．因公出国（境）团组数（个）</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7．离退休干部用车</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2．因公出国（境）人次数（人）</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8．其他用车</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3．公务用车购置数（辆）</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（二）单价100万元（含）以上设备（不含车辆）</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4．公务用车保有量（辆）</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七、政府采购支出信息</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ind w:right="120" w:rightChars="50"/>
              <w:jc w:val="center"/>
              <w:textAlignment w:val="center"/>
              <w:rPr>
                <w:rFonts w:hint="default" w:ascii="Times New Roman" w:hAnsi="Times New Roman"/>
                <w:color w:val="000000"/>
                <w:sz w:val="18"/>
                <w:szCs w:val="18"/>
              </w:rPr>
            </w:pPr>
            <w:r>
              <w:rPr>
                <w:rFonts w:hint="default" w:ascii="Times New Roman" w:hAnsi="Times New Roman"/>
                <w:color w:val="000000"/>
                <w:sz w:val="18"/>
                <w:szCs w:val="18"/>
              </w:rPr>
              <w:t>—</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5．国内公务接待批次（个）</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（一）政府采购支出合计</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hint="default" w:ascii="Times New Roman" w:hAnsi="Times New Roman"/>
                <w:color w:val="000000"/>
                <w:sz w:val="18"/>
                <w:szCs w:val="18"/>
              </w:rPr>
              <w:t>0.85</w:t>
            </w:r>
            <w:r>
              <w:rPr>
                <w:rFonts w:ascii="Times New Roman" w:hAnsi="Times New Roman"/>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其中：外事接待批次（个）</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1．政府采购货物支出</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hint="default" w:ascii="Times New Roman" w:hAnsi="Times New Roman"/>
                <w:color w:val="000000"/>
                <w:sz w:val="18"/>
                <w:szCs w:val="18"/>
              </w:rPr>
              <w:t>0.85</w:t>
            </w:r>
            <w:r>
              <w:rPr>
                <w:rFonts w:ascii="Times New Roman" w:hAnsi="Times New Roman"/>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6．国内公务接待人次（人）</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2．政府采购工程支出</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其中：外事接待人次（人）</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3．政府采购服务支出</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7．国（境）外公务接待批次（个）</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（二）政府采购授予中小企业合同金额</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hint="default" w:ascii="Times New Roman" w:hAnsi="Times New Roman"/>
                <w:color w:val="000000"/>
                <w:sz w:val="18"/>
                <w:szCs w:val="18"/>
              </w:rPr>
              <w:t>0.85</w:t>
            </w:r>
            <w:r>
              <w:rPr>
                <w:rFonts w:ascii="Times New Roman" w:hAnsi="Times New Roman"/>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8．国（境）外公务接待人次（人）</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其中：授予小微企业合同金额</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hint="default" w:ascii="Times New Roman" w:hAnsi="Times New Roman"/>
                <w:color w:val="000000"/>
                <w:sz w:val="18"/>
                <w:szCs w:val="18"/>
              </w:rPr>
              <w:t>0.85</w:t>
            </w:r>
            <w:r>
              <w:rPr>
                <w:rFonts w:ascii="Times New Roman" w:hAnsi="Times New Roman"/>
                <w:color w:val="000000"/>
                <w:sz w:val="18"/>
                <w:u w:color="auto"/>
              </w:rPr>
              <w:t xml:space="preserve"> </w:t>
            </w:r>
          </w:p>
        </w:tc>
      </w:tr>
      <w:tr>
        <w:tblPrEx>
          <w:tblLayout w:type="fixed"/>
          <w:tblCellMar>
            <w:top w:w="0" w:type="dxa"/>
            <w:left w:w="170" w:type="dxa"/>
            <w:bottom w:w="0" w:type="dxa"/>
            <w:right w:w="170" w:type="dxa"/>
          </w:tblCellMar>
        </w:tblPrEx>
        <w:trPr>
          <w:trHeight w:val="286"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color w:val="000000"/>
                <w:kern w:val="2"/>
                <w:sz w:val="16"/>
                <w:szCs w:val="16"/>
              </w:rPr>
            </w:pPr>
            <w:r>
              <w:rPr>
                <w:rFonts w:cs="宋体"/>
                <w:b/>
                <w:color w:val="000000"/>
                <w:kern w:val="2"/>
                <w:sz w:val="16"/>
                <w:szCs w:val="16"/>
              </w:rPr>
              <w:t>二、会议费</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rPr>
                <w:rFonts w:hint="default" w:cs="宋体"/>
                <w:color w:val="000000"/>
                <w:kern w:val="2"/>
                <w:sz w:val="16"/>
                <w:szCs w:val="16"/>
              </w:rPr>
            </w:pP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jc w:val="right"/>
              <w:rPr>
                <w:rFonts w:hint="default" w:cs="宋体"/>
                <w:color w:val="000000"/>
                <w:kern w:val="2"/>
                <w:sz w:val="16"/>
                <w:szCs w:val="16"/>
              </w:rPr>
            </w:pPr>
          </w:p>
        </w:tc>
      </w:tr>
      <w:tr>
        <w:tblPrEx>
          <w:tblLayout w:type="fixed"/>
          <w:tblCellMar>
            <w:top w:w="0" w:type="dxa"/>
            <w:left w:w="170" w:type="dxa"/>
            <w:bottom w:w="0" w:type="dxa"/>
            <w:right w:w="170" w:type="dxa"/>
          </w:tblCellMar>
        </w:tblPrEx>
        <w:trPr>
          <w:trHeight w:val="389"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color w:val="000000"/>
                <w:kern w:val="2"/>
                <w:sz w:val="16"/>
                <w:szCs w:val="16"/>
              </w:rPr>
            </w:pPr>
            <w:r>
              <w:rPr>
                <w:rFonts w:cs="宋体"/>
                <w:b/>
                <w:color w:val="000000"/>
                <w:kern w:val="2"/>
                <w:sz w:val="16"/>
                <w:szCs w:val="16"/>
              </w:rPr>
              <w:t>三、培训费</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rPr>
                <w:rFonts w:hint="default" w:cs="宋体"/>
                <w:color w:val="000000"/>
                <w:kern w:val="2"/>
                <w:sz w:val="16"/>
                <w:szCs w:val="16"/>
              </w:rPr>
            </w:pP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jc w:val="right"/>
              <w:rPr>
                <w:rFonts w:hint="default" w:cs="宋体"/>
                <w:color w:val="000000"/>
                <w:kern w:val="2"/>
                <w:sz w:val="16"/>
                <w:szCs w:val="16"/>
              </w:rPr>
            </w:pPr>
          </w:p>
        </w:tc>
      </w:tr>
      <w:tr>
        <w:tblPrEx>
          <w:tblLayout w:type="fixed"/>
          <w:tblCellMar>
            <w:top w:w="0" w:type="dxa"/>
            <w:left w:w="170" w:type="dxa"/>
            <w:bottom w:w="0" w:type="dxa"/>
            <w:right w:w="170" w:type="dxa"/>
          </w:tblCellMar>
        </w:tblPrEx>
        <w:trPr>
          <w:trHeight w:val="389"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sz w:val="16"/>
                <w:szCs w:val="16"/>
              </w:rPr>
            </w:pPr>
            <w:r>
              <w:rPr>
                <w:rFonts w:cs="宋体"/>
                <w:b/>
                <w:bCs/>
                <w:color w:val="000000"/>
                <w:sz w:val="16"/>
                <w:szCs w:val="16"/>
              </w:rPr>
              <w:t>四、差旅费</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sz w:val="18"/>
                <w:szCs w:val="18"/>
              </w:rPr>
            </w:pPr>
            <w:r>
              <w:rPr>
                <w:rFonts w:hint="default" w:ascii="Times New Roman" w:hAnsi="Times New Roman"/>
                <w:color w:val="000000"/>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rPr>
                <w:rFonts w:hint="default" w:cs="宋体"/>
                <w:color w:val="000000"/>
                <w:sz w:val="16"/>
                <w:szCs w:val="16"/>
              </w:rPr>
            </w:pP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jc w:val="right"/>
              <w:rPr>
                <w:rFonts w:hint="default" w:cs="宋体"/>
                <w:color w:val="000000"/>
                <w:sz w:val="16"/>
                <w:szCs w:val="16"/>
              </w:rPr>
            </w:pPr>
          </w:p>
        </w:tc>
      </w:tr>
    </w:tbl>
    <w:p>
      <w:pPr>
        <w:rPr>
          <w:rFonts w:hint="default"/>
          <w:sz w:val="18"/>
          <w:szCs w:val="18"/>
        </w:rPr>
      </w:pPr>
      <w:r>
        <w:rPr>
          <w:rFonts w:cs="宋体"/>
          <w:sz w:val="18"/>
          <w:szCs w:val="18"/>
        </w:rPr>
        <w:t>备注：1.本表反映单位本年度财政拨款“三公”经费支出预决算情况。其中，预算数为“三公”经费全年预算数，反映按规定程序调整后的预算数；决算数为包括本年度财政拨款和以前年度结转资金安排的实际支出。</w:t>
      </w:r>
      <w:r>
        <w:rPr>
          <w:rFonts w:cs="宋体"/>
          <w:sz w:val="18"/>
          <w:szCs w:val="18"/>
        </w:rPr>
        <w:br w:type="textWrapping"/>
      </w:r>
      <w:r>
        <w:rPr>
          <w:rFonts w:cs="宋体"/>
          <w:sz w:val="18"/>
          <w:szCs w:val="18"/>
        </w:rPr>
        <w:t xml:space="preserve">      2.本套报表金额单位转换时可能存在尾数误差。</w:t>
      </w:r>
      <w:r>
        <w:rPr>
          <w:rFonts w:cs="宋体"/>
          <w:sz w:val="18"/>
          <w:szCs w:val="18"/>
        </w:rPr>
        <w:br w:type="textWrapping"/>
      </w:r>
      <w:r>
        <w:rPr>
          <w:rFonts w:cs="宋体"/>
          <w:sz w:val="18"/>
          <w:szCs w:val="18"/>
        </w:rPr>
        <w:br w:type="textWrapping"/>
      </w:r>
    </w:p>
    <w:sectPr>
      <w:headerReference r:id="rId4" w:type="default"/>
      <w:footerReference r:id="rId5" w:type="default"/>
      <w:pgSz w:w="16783" w:h="11850" w:orient="landscape"/>
      <w:pgMar w:top="567" w:right="454" w:bottom="567" w:left="1037" w:header="0" w:footer="283" w:gutter="0"/>
      <w:pgNumType w:fmt="numberInDash"/>
      <w:cols w:space="720" w:num="1"/>
      <w:docGrid w:type="lines" w:linePitch="32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script"/>
    <w:pitch w:val="default"/>
    <w:sig w:usb0="00000001" w:usb1="080E0000" w:usb2="00000000" w:usb3="00000000" w:csb0="00040000" w:csb1="00000000"/>
  </w:font>
  <w:font w:name="方正黑体_GBK">
    <w:panose1 w:val="03000509000000000000"/>
    <w:charset w:val="86"/>
    <w:family w:val="auto"/>
    <w:pitch w:val="default"/>
    <w:sig w:usb0="00000001" w:usb1="080E0000" w:usb2="00000000" w:usb3="00000000" w:csb0="00040000" w:csb1="00000000"/>
  </w:font>
  <w:font w:name="方正楷体_GBK">
    <w:panose1 w:val="03000509000000000000"/>
    <w:charset w:val="86"/>
    <w:family w:val="auto"/>
    <w:pitch w:val="default"/>
    <w:sig w:usb0="00000001" w:usb1="080E0000" w:usb2="00000000" w:usb3="00000000" w:csb0="00040000" w:csb1="00000000"/>
  </w:font>
  <w:font w:name="方正仿宋_GBK">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rPr>
        <w:rFonts w:hint="default"/>
      </w:rPr>
    </w:pPr>
    <w:r>
      <w:rPr>
        <w:rFonts w:hint="default"/>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6"/>
                            <w:rPr>
                              <w:rFonts w:hint="default"/>
                            </w:rPr>
                          </w:pPr>
                          <w:r>
                            <w:fldChar w:fldCharType="begin"/>
                          </w:r>
                          <w:r>
                            <w:instrText xml:space="preserve"> PAGE  \* MERGEFORMAT </w:instrText>
                          </w:r>
                          <w:r>
                            <w:fldChar w:fldCharType="separate"/>
                          </w:r>
                          <w:r>
                            <w:rPr>
                              <w:rFonts w:hint="default"/>
                            </w:rPr>
                            <w:t>- 19 -</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LNJWO7QAAAABQEAAA8AAAAAAAAA&#10;AQAgAAAAIgAAAGRycy9kb3ducmV2LnhtbFBLAQIUABQAAAAIAIdO4kArqOpyGQIAACEEAAAOAAAA&#10;AAAAAAEAIAAAAB8BAABkcnMvZTJvRG9jLnhtbFBLBQYAAAAABgAGAFkBAACqBQAAAAA=&#10;">
              <v:fill on="f" focussize="0,0"/>
              <v:stroke on="f" weight="0.5pt"/>
              <v:imagedata o:title=""/>
              <o:lock v:ext="edit" aspectratio="f"/>
              <v:textbox inset="0mm,0mm,0mm,0mm" style="mso-fit-shape-to-text:t;">
                <w:txbxContent>
                  <w:p>
                    <w:pPr>
                      <w:pStyle w:val="6"/>
                      <w:rPr>
                        <w:rFonts w:hint="default"/>
                      </w:rPr>
                    </w:pPr>
                    <w:r>
                      <w:fldChar w:fldCharType="begin"/>
                    </w:r>
                    <w:r>
                      <w:instrText xml:space="preserve"> PAGE  \* MERGEFORMAT </w:instrText>
                    </w:r>
                    <w:r>
                      <w:fldChar w:fldCharType="separate"/>
                    </w:r>
                    <w:r>
                      <w:rPr>
                        <w:rFonts w:hint="default"/>
                      </w:rPr>
                      <w:t>- 19 -</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both"/>
      <w:rPr>
        <w:rFonts w:hint="default"/>
      </w:rPr>
    </w:pPr>
    <w:r>
      <w:rPr>
        <w:rFonts w:hint="default"/>
      </w:rPr>
      <mc:AlternateContent>
        <mc:Choice Requires="wps">
          <w:drawing>
            <wp:anchor distT="0" distB="0" distL="114300" distR="114300" simplePos="0" relativeHeight="251664384" behindDoc="0" locked="0" layoutInCell="1" allowOverlap="0">
              <wp:simplePos x="0" y="0"/>
              <wp:positionH relativeFrom="margin">
                <wp:align>center</wp:align>
              </wp:positionH>
              <wp:positionV relativeFrom="paragraph">
                <wp:posOffset>0</wp:posOffset>
              </wp:positionV>
              <wp:extent cx="1828800" cy="1828800"/>
              <wp:effectExtent l="0" t="0" r="0" b="0"/>
              <wp:wrapNone/>
              <wp:docPr id="127" name="文本框 12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6"/>
                            <w:rPr>
                              <w:rFonts w:hint="default"/>
                            </w:rPr>
                          </w:pPr>
                          <w:r>
                            <w:t xml:space="preserve"> </w:t>
                          </w:r>
                          <w:r>
                            <w:fldChar w:fldCharType="begin"/>
                          </w:r>
                          <w:r>
                            <w:instrText xml:space="preserve">PAGE   \* MERGEFORMAT</w:instrText>
                          </w:r>
                          <w:r>
                            <w:fldChar w:fldCharType="separate"/>
                          </w:r>
                          <w:r>
                            <w:rPr>
                              <w:rFonts w:hint="default"/>
                              <w:lang w:val="zh-CN"/>
                            </w:rPr>
                            <w:t>-</w:t>
                          </w:r>
                          <w:r>
                            <w:rPr>
                              <w:rFonts w:hint="default"/>
                            </w:rPr>
                            <w:t xml:space="preserve"> 31 -</w:t>
                          </w:r>
                          <w:r>
                            <w:fldChar w:fldCharType="end"/>
                          </w:r>
                          <w:r>
                            <w:t xml:space="preserve"> </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4384;mso-width-relative:page;mso-height-relative:page;" filled="f" stroked="f" coordsize="21600,21600" o:allowoverlap="f"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">
              <v:fill on="f" focussize="0,0"/>
              <v:stroke on="f" weight="0.5pt"/>
              <v:imagedata o:title=""/>
              <o:lock v:ext="edit" aspectratio="f"/>
              <v:textbox inset="0mm,0mm,0mm,0mm" style="mso-fit-shape-to-text:t;">
                <w:txbxContent>
                  <w:p>
                    <w:pPr>
                      <w:pStyle w:val="6"/>
                      <w:rPr>
                        <w:rFonts w:hint="default"/>
                      </w:rPr>
                    </w:pPr>
                    <w:r>
                      <w:t xml:space="preserve"> </w:t>
                    </w:r>
                    <w:r>
                      <w:fldChar w:fldCharType="begin"/>
                    </w:r>
                    <w:r>
                      <w:instrText xml:space="preserve">PAGE   \* MERGEFORMAT</w:instrText>
                    </w:r>
                    <w:r>
                      <w:fldChar w:fldCharType="separate"/>
                    </w:r>
                    <w:r>
                      <w:rPr>
                        <w:rFonts w:hint="default"/>
                        <w:lang w:val="zh-CN"/>
                      </w:rPr>
                      <w:t>-</w:t>
                    </w:r>
                    <w:r>
                      <w:rPr>
                        <w:rFonts w:hint="default"/>
                      </w:rPr>
                      <w:t xml:space="preserve"> 31 -</w:t>
                    </w:r>
                    <w:r>
                      <w:fldChar w:fldCharType="end"/>
                    </w:r>
                    <w:r>
                      <w:t xml:space="preserve"> </w:t>
                    </w:r>
                  </w:p>
                </w:txbxContent>
              </v:textbox>
            </v:shape>
          </w:pict>
        </mc:Fallback>
      </mc:AlternateContent>
    </w:r>
    <w:r>
      <w:rPr>
        <w:rFonts w:hint="default"/>
      </w:rPr>
      <mc:AlternateContent>
        <mc:Choice Requires="wps">
          <w:drawing>
            <wp:anchor distT="0" distB="0" distL="114300" distR="114300" simplePos="0" relativeHeight="251663360" behindDoc="0" locked="0" layoutInCell="1" allowOverlap="0">
              <wp:simplePos x="0" y="0"/>
              <wp:positionH relativeFrom="margin">
                <wp:align>center</wp:align>
              </wp:positionH>
              <wp:positionV relativeFrom="page">
                <wp:posOffset>14737080</wp:posOffset>
              </wp:positionV>
              <wp:extent cx="1828800" cy="220980"/>
              <wp:effectExtent l="0" t="0" r="0" b="0"/>
              <wp:wrapNone/>
              <wp:docPr id="126" name="文本框 126"/>
              <wp:cNvGraphicFramePr/>
              <a:graphic xmlns:a="http://schemas.openxmlformats.org/drawingml/2006/main">
                <a:graphicData uri="http://schemas.microsoft.com/office/word/2010/wordprocessingShape">
                  <wps:wsp>
                    <wps:cNvSpPr txBox="1"/>
                    <wps:spPr>
                      <a:xfrm>
                        <a:off x="0" y="0"/>
                        <a:ext cx="1828800" cy="220980"/>
                      </a:xfrm>
                      <a:prstGeom prst="rect">
                        <a:avLst/>
                      </a:prstGeom>
                      <a:noFill/>
                      <a:ln w="6350">
                        <a:noFill/>
                      </a:ln>
                      <a:effectLst/>
                    </wps:spPr>
                    <wps:txbx>
                      <w:txbxContent>
                        <w:p>
                          <w:pPr>
                            <w:pStyle w:val="6"/>
                            <w:jc w:val="both"/>
                            <w:rPr>
                              <w:rFonts w:hint="default" w:cs="宋体"/>
                            </w:rPr>
                          </w:pPr>
                          <w:r>
                            <w:rPr>
                              <w:rFonts w:cs="宋体"/>
                            </w:rPr>
                            <w:t>— 27.1 —</w:t>
                          </w:r>
                        </w:p>
                      </w:txbxContent>
                    </wps:txbx>
                    <wps:bodyPr rot="0" spcFirstLastPara="0" vertOverflow="overflow" horzOverflow="overflow" vert="horz" wrap="none" lIns="0" tIns="0" rIns="0" bIns="0" numCol="1" spcCol="0" rtlCol="0" fromWordArt="0" anchor="t" anchorCtr="0" forceAA="0" compatLnSpc="1">
                      <a:noAutofit/>
                    </wps:bodyPr>
                  </wps:wsp>
                </a:graphicData>
              </a:graphic>
            </wp:anchor>
          </w:drawing>
        </mc:Choice>
        <mc:Fallback>
          <w:pict>
            <v:shape id="_x0000_s1026" o:spid="_x0000_s1026" o:spt="202" type="#_x0000_t202" style="position:absolute;left:0pt;margin-top:1160.4pt;height:17.4pt;width:144pt;mso-position-horizontal:center;mso-position-horizontal-relative:margin;mso-position-vertical-relative:page;mso-wrap-style:none;z-index:251663360;mso-width-relative:page;mso-height-relative:page;" filled="f" stroked="f" coordsize="21600,21600" o:allowoverlap="f" o:gfxdata="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">
              <v:fill on="f" focussize="0,0"/>
              <v:stroke on="f" weight="0.5pt"/>
              <v:imagedata o:title=""/>
              <o:lock v:ext="edit" aspectratio="f"/>
              <v:textbox inset="0mm,0mm,0mm,0mm">
                <w:txbxContent>
                  <w:p>
                    <w:pPr>
                      <w:pStyle w:val="6"/>
                      <w:jc w:val="both"/>
                      <w:rPr>
                        <w:rFonts w:hint="default" w:cs="宋体"/>
                      </w:rPr>
                    </w:pPr>
                    <w:r>
                      <w:rPr>
                        <w:rFonts w:cs="宋体"/>
                      </w:rPr>
                      <w:t>— 27.1 —</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tabs>
        <w:tab w:val="left" w:pos="1758"/>
        <w:tab w:val="clear" w:pos="4153"/>
        <w:tab w:val="clear" w:pos="8306"/>
      </w:tabs>
      <w:rPr>
        <w:rFonts w:hint="default"/>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4241203"/>
    <w:multiLevelType w:val="singleLevel"/>
    <w:tmpl w:val="24241203"/>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HorizontalSpacing w:val="120"/>
  <w:drawingGridVerticalSpacing w:val="163"/>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QwYWQ1YTE0ZDA0NjgxYzlhMjZlMDExNTFmMWI3MmEifQ=="/>
  </w:docVars>
  <w:rsids>
    <w:rsidRoot w:val="00B03CCD"/>
    <w:rsid w:val="000239C6"/>
    <w:rsid w:val="001D3BB7"/>
    <w:rsid w:val="002B254B"/>
    <w:rsid w:val="0034050A"/>
    <w:rsid w:val="0044504F"/>
    <w:rsid w:val="00466C9B"/>
    <w:rsid w:val="00486CFC"/>
    <w:rsid w:val="00491DDD"/>
    <w:rsid w:val="00550ABE"/>
    <w:rsid w:val="005B1480"/>
    <w:rsid w:val="00623A85"/>
    <w:rsid w:val="00770383"/>
    <w:rsid w:val="007819D4"/>
    <w:rsid w:val="007B419D"/>
    <w:rsid w:val="007B7C4B"/>
    <w:rsid w:val="007D3D39"/>
    <w:rsid w:val="00984C6A"/>
    <w:rsid w:val="00994AF7"/>
    <w:rsid w:val="009B67B8"/>
    <w:rsid w:val="009C14C9"/>
    <w:rsid w:val="009D2B67"/>
    <w:rsid w:val="009E1452"/>
    <w:rsid w:val="00A566F9"/>
    <w:rsid w:val="00AF2751"/>
    <w:rsid w:val="00B03CCD"/>
    <w:rsid w:val="00BE2B89"/>
    <w:rsid w:val="00BF0D89"/>
    <w:rsid w:val="00C10E9E"/>
    <w:rsid w:val="00C20C3E"/>
    <w:rsid w:val="00C5163E"/>
    <w:rsid w:val="00CF2ACF"/>
    <w:rsid w:val="00D03AAF"/>
    <w:rsid w:val="00DD0539"/>
    <w:rsid w:val="00E07662"/>
    <w:rsid w:val="00E368E9"/>
    <w:rsid w:val="00EE1E33"/>
    <w:rsid w:val="00F73F90"/>
    <w:rsid w:val="00FB4B3B"/>
    <w:rsid w:val="01474EBF"/>
    <w:rsid w:val="019F1B93"/>
    <w:rsid w:val="01F23E37"/>
    <w:rsid w:val="01F3521E"/>
    <w:rsid w:val="026B5CEC"/>
    <w:rsid w:val="036E2DA9"/>
    <w:rsid w:val="03B87EA0"/>
    <w:rsid w:val="03E3214F"/>
    <w:rsid w:val="044C50BA"/>
    <w:rsid w:val="05BC6D49"/>
    <w:rsid w:val="06194FF1"/>
    <w:rsid w:val="06A2550B"/>
    <w:rsid w:val="06F80EE2"/>
    <w:rsid w:val="07001CCA"/>
    <w:rsid w:val="072F4335"/>
    <w:rsid w:val="075678DB"/>
    <w:rsid w:val="079D7CC7"/>
    <w:rsid w:val="08051BCA"/>
    <w:rsid w:val="086C12F4"/>
    <w:rsid w:val="08705944"/>
    <w:rsid w:val="088D69B9"/>
    <w:rsid w:val="08BA052C"/>
    <w:rsid w:val="08DB07BA"/>
    <w:rsid w:val="0969353F"/>
    <w:rsid w:val="098305D0"/>
    <w:rsid w:val="09B1218B"/>
    <w:rsid w:val="0A3317EA"/>
    <w:rsid w:val="0A5C4B69"/>
    <w:rsid w:val="0A86124A"/>
    <w:rsid w:val="0AB54CC0"/>
    <w:rsid w:val="0B9335CE"/>
    <w:rsid w:val="0BF2311A"/>
    <w:rsid w:val="0C7927C4"/>
    <w:rsid w:val="0C9B098C"/>
    <w:rsid w:val="0D673E11"/>
    <w:rsid w:val="0DDA54E4"/>
    <w:rsid w:val="0E3A5F83"/>
    <w:rsid w:val="0F836721"/>
    <w:rsid w:val="0FA25D96"/>
    <w:rsid w:val="0FBD3C60"/>
    <w:rsid w:val="107B59E5"/>
    <w:rsid w:val="10EC0126"/>
    <w:rsid w:val="10F70B9A"/>
    <w:rsid w:val="11105019"/>
    <w:rsid w:val="111445C7"/>
    <w:rsid w:val="114278C6"/>
    <w:rsid w:val="1158083A"/>
    <w:rsid w:val="11643A4B"/>
    <w:rsid w:val="11ED0F98"/>
    <w:rsid w:val="11F03528"/>
    <w:rsid w:val="12C921C4"/>
    <w:rsid w:val="13871C70"/>
    <w:rsid w:val="13A71CB4"/>
    <w:rsid w:val="13AF1D43"/>
    <w:rsid w:val="13CE1647"/>
    <w:rsid w:val="13FD55AB"/>
    <w:rsid w:val="14200702"/>
    <w:rsid w:val="14370EA1"/>
    <w:rsid w:val="145D6F41"/>
    <w:rsid w:val="1498259B"/>
    <w:rsid w:val="15EA6787"/>
    <w:rsid w:val="163A6CEE"/>
    <w:rsid w:val="173708E3"/>
    <w:rsid w:val="17C374FC"/>
    <w:rsid w:val="182E4AB6"/>
    <w:rsid w:val="189079DC"/>
    <w:rsid w:val="189B0D0B"/>
    <w:rsid w:val="18B43F7C"/>
    <w:rsid w:val="191C433B"/>
    <w:rsid w:val="194A1770"/>
    <w:rsid w:val="19A7592C"/>
    <w:rsid w:val="19B906A4"/>
    <w:rsid w:val="1B6F15B6"/>
    <w:rsid w:val="1BAA2EDC"/>
    <w:rsid w:val="1CA55E64"/>
    <w:rsid w:val="1D014A01"/>
    <w:rsid w:val="1D022362"/>
    <w:rsid w:val="1D1B04B0"/>
    <w:rsid w:val="1DA52501"/>
    <w:rsid w:val="1DBD6767"/>
    <w:rsid w:val="1DC52125"/>
    <w:rsid w:val="1DD26311"/>
    <w:rsid w:val="1E374ACB"/>
    <w:rsid w:val="1ECF0A66"/>
    <w:rsid w:val="1EF67CA4"/>
    <w:rsid w:val="1F020D3A"/>
    <w:rsid w:val="1F2C5189"/>
    <w:rsid w:val="1F4B0B02"/>
    <w:rsid w:val="1FAB363F"/>
    <w:rsid w:val="1FBB35CD"/>
    <w:rsid w:val="1FCD26AF"/>
    <w:rsid w:val="20642787"/>
    <w:rsid w:val="21556F04"/>
    <w:rsid w:val="22403BD3"/>
    <w:rsid w:val="235417B6"/>
    <w:rsid w:val="24B92327"/>
    <w:rsid w:val="24C14514"/>
    <w:rsid w:val="2533755C"/>
    <w:rsid w:val="25791755"/>
    <w:rsid w:val="26396DF4"/>
    <w:rsid w:val="2662276B"/>
    <w:rsid w:val="27167136"/>
    <w:rsid w:val="271B442C"/>
    <w:rsid w:val="27B23302"/>
    <w:rsid w:val="29310A5F"/>
    <w:rsid w:val="29C37A35"/>
    <w:rsid w:val="2A076083"/>
    <w:rsid w:val="2A73162E"/>
    <w:rsid w:val="2B167953"/>
    <w:rsid w:val="2B200583"/>
    <w:rsid w:val="2B8209DE"/>
    <w:rsid w:val="2B821C91"/>
    <w:rsid w:val="2BB8703D"/>
    <w:rsid w:val="2BF81A22"/>
    <w:rsid w:val="2C636760"/>
    <w:rsid w:val="2C6762A3"/>
    <w:rsid w:val="2DF41D09"/>
    <w:rsid w:val="2E08428B"/>
    <w:rsid w:val="2FCA4B37"/>
    <w:rsid w:val="2FE029D7"/>
    <w:rsid w:val="2FF06E00"/>
    <w:rsid w:val="30586FEC"/>
    <w:rsid w:val="315F0B22"/>
    <w:rsid w:val="31D84415"/>
    <w:rsid w:val="32285F6F"/>
    <w:rsid w:val="32770556"/>
    <w:rsid w:val="329C0913"/>
    <w:rsid w:val="32AA0460"/>
    <w:rsid w:val="3337290D"/>
    <w:rsid w:val="3387524B"/>
    <w:rsid w:val="33E31118"/>
    <w:rsid w:val="33EF7674"/>
    <w:rsid w:val="342D7BC6"/>
    <w:rsid w:val="352930DB"/>
    <w:rsid w:val="35573069"/>
    <w:rsid w:val="355F6038"/>
    <w:rsid w:val="358C217E"/>
    <w:rsid w:val="36C9128A"/>
    <w:rsid w:val="37841E99"/>
    <w:rsid w:val="37BF1123"/>
    <w:rsid w:val="383C3F15"/>
    <w:rsid w:val="38BE4696"/>
    <w:rsid w:val="3939115E"/>
    <w:rsid w:val="39AB7AFE"/>
    <w:rsid w:val="39B82A39"/>
    <w:rsid w:val="39C42CA8"/>
    <w:rsid w:val="39DC4FD6"/>
    <w:rsid w:val="39F03D7A"/>
    <w:rsid w:val="39F33306"/>
    <w:rsid w:val="3A2C1C67"/>
    <w:rsid w:val="3A2C6DA1"/>
    <w:rsid w:val="3A6A77C9"/>
    <w:rsid w:val="3ADD7F09"/>
    <w:rsid w:val="3B1705E5"/>
    <w:rsid w:val="3B18334B"/>
    <w:rsid w:val="3B36794F"/>
    <w:rsid w:val="3B6F6EE0"/>
    <w:rsid w:val="3C566AD6"/>
    <w:rsid w:val="3C594871"/>
    <w:rsid w:val="3C6A5B02"/>
    <w:rsid w:val="3D2757A1"/>
    <w:rsid w:val="3D3D4FC4"/>
    <w:rsid w:val="3DDF3AB1"/>
    <w:rsid w:val="3E1D0952"/>
    <w:rsid w:val="3E42660A"/>
    <w:rsid w:val="3E7555B1"/>
    <w:rsid w:val="3E787ED9"/>
    <w:rsid w:val="3F032E93"/>
    <w:rsid w:val="3F0527E5"/>
    <w:rsid w:val="3F4C52C6"/>
    <w:rsid w:val="3F694D83"/>
    <w:rsid w:val="3F885DCC"/>
    <w:rsid w:val="3FCD675E"/>
    <w:rsid w:val="4004000C"/>
    <w:rsid w:val="40BD5482"/>
    <w:rsid w:val="4102599E"/>
    <w:rsid w:val="411B6CE5"/>
    <w:rsid w:val="412070D7"/>
    <w:rsid w:val="41314E40"/>
    <w:rsid w:val="41E0734B"/>
    <w:rsid w:val="426C1EA8"/>
    <w:rsid w:val="42736402"/>
    <w:rsid w:val="42E86A87"/>
    <w:rsid w:val="4300031F"/>
    <w:rsid w:val="43307B09"/>
    <w:rsid w:val="436D44AF"/>
    <w:rsid w:val="439A3EB9"/>
    <w:rsid w:val="439F4630"/>
    <w:rsid w:val="43A2191B"/>
    <w:rsid w:val="43BB152F"/>
    <w:rsid w:val="44C37687"/>
    <w:rsid w:val="45CB699A"/>
    <w:rsid w:val="4608747B"/>
    <w:rsid w:val="46423C66"/>
    <w:rsid w:val="465B470D"/>
    <w:rsid w:val="469D6AD4"/>
    <w:rsid w:val="46B317B0"/>
    <w:rsid w:val="471E6C84"/>
    <w:rsid w:val="4748792B"/>
    <w:rsid w:val="475D719D"/>
    <w:rsid w:val="47674801"/>
    <w:rsid w:val="47934112"/>
    <w:rsid w:val="48225EF7"/>
    <w:rsid w:val="488F422B"/>
    <w:rsid w:val="48E36915"/>
    <w:rsid w:val="48EB6572"/>
    <w:rsid w:val="495C4A24"/>
    <w:rsid w:val="497135DF"/>
    <w:rsid w:val="4A263DF2"/>
    <w:rsid w:val="4A2F278B"/>
    <w:rsid w:val="4A6F6675"/>
    <w:rsid w:val="4B135857"/>
    <w:rsid w:val="4B7951CB"/>
    <w:rsid w:val="4B7C315C"/>
    <w:rsid w:val="4C9316A8"/>
    <w:rsid w:val="4D1F53CA"/>
    <w:rsid w:val="4DAC4ACA"/>
    <w:rsid w:val="4DBE01D2"/>
    <w:rsid w:val="4F0C6BA3"/>
    <w:rsid w:val="4F186D58"/>
    <w:rsid w:val="50CB7E2E"/>
    <w:rsid w:val="50F06B6E"/>
    <w:rsid w:val="51D21804"/>
    <w:rsid w:val="52234D33"/>
    <w:rsid w:val="522F6E0C"/>
    <w:rsid w:val="523B7544"/>
    <w:rsid w:val="52463BA1"/>
    <w:rsid w:val="526768F1"/>
    <w:rsid w:val="52F163D4"/>
    <w:rsid w:val="531A2DB4"/>
    <w:rsid w:val="53C0244D"/>
    <w:rsid w:val="53DD4D4E"/>
    <w:rsid w:val="53E578CE"/>
    <w:rsid w:val="541330F0"/>
    <w:rsid w:val="54272666"/>
    <w:rsid w:val="543B029D"/>
    <w:rsid w:val="54861779"/>
    <w:rsid w:val="552256E1"/>
    <w:rsid w:val="554E5773"/>
    <w:rsid w:val="555829E0"/>
    <w:rsid w:val="555A3CBC"/>
    <w:rsid w:val="5582012B"/>
    <w:rsid w:val="558E4E05"/>
    <w:rsid w:val="55BE2E85"/>
    <w:rsid w:val="56530F5D"/>
    <w:rsid w:val="567700D3"/>
    <w:rsid w:val="569E5A73"/>
    <w:rsid w:val="56FF7E9E"/>
    <w:rsid w:val="578867FC"/>
    <w:rsid w:val="5842572D"/>
    <w:rsid w:val="5A3B59D6"/>
    <w:rsid w:val="5AD134D8"/>
    <w:rsid w:val="5BF41F67"/>
    <w:rsid w:val="5C263CE4"/>
    <w:rsid w:val="5C5D2777"/>
    <w:rsid w:val="5C714A8A"/>
    <w:rsid w:val="5CF66BF3"/>
    <w:rsid w:val="5D290C69"/>
    <w:rsid w:val="5DA80C2C"/>
    <w:rsid w:val="5DC06F3B"/>
    <w:rsid w:val="5DED43D1"/>
    <w:rsid w:val="5F2D4A41"/>
    <w:rsid w:val="60C74F6C"/>
    <w:rsid w:val="61015958"/>
    <w:rsid w:val="61025A59"/>
    <w:rsid w:val="613D5BBC"/>
    <w:rsid w:val="61536C39"/>
    <w:rsid w:val="61894431"/>
    <w:rsid w:val="62944DD7"/>
    <w:rsid w:val="6319381F"/>
    <w:rsid w:val="63C25DC5"/>
    <w:rsid w:val="63C62057"/>
    <w:rsid w:val="64571EF5"/>
    <w:rsid w:val="64FB113D"/>
    <w:rsid w:val="656152C6"/>
    <w:rsid w:val="6587477F"/>
    <w:rsid w:val="658C3A08"/>
    <w:rsid w:val="65C031CA"/>
    <w:rsid w:val="65CE6852"/>
    <w:rsid w:val="66267C04"/>
    <w:rsid w:val="663F505A"/>
    <w:rsid w:val="66AF5D7C"/>
    <w:rsid w:val="66EE5541"/>
    <w:rsid w:val="67924660"/>
    <w:rsid w:val="68407834"/>
    <w:rsid w:val="6883293E"/>
    <w:rsid w:val="688412AD"/>
    <w:rsid w:val="68EB1B71"/>
    <w:rsid w:val="696C0310"/>
    <w:rsid w:val="6A6C7940"/>
    <w:rsid w:val="6A9F1565"/>
    <w:rsid w:val="6AAD2300"/>
    <w:rsid w:val="6B474EF5"/>
    <w:rsid w:val="6C0A5AC5"/>
    <w:rsid w:val="6C560CAE"/>
    <w:rsid w:val="6C576495"/>
    <w:rsid w:val="6D903FF5"/>
    <w:rsid w:val="6DA955B8"/>
    <w:rsid w:val="6DE346AB"/>
    <w:rsid w:val="6DE5391A"/>
    <w:rsid w:val="6EFD1324"/>
    <w:rsid w:val="6F5A53AC"/>
    <w:rsid w:val="6FAC003D"/>
    <w:rsid w:val="6FD926BF"/>
    <w:rsid w:val="6FE55E12"/>
    <w:rsid w:val="6FFB2E76"/>
    <w:rsid w:val="708F6F7F"/>
    <w:rsid w:val="70D94BD3"/>
    <w:rsid w:val="71574775"/>
    <w:rsid w:val="71C34D91"/>
    <w:rsid w:val="72DB435C"/>
    <w:rsid w:val="72E2613A"/>
    <w:rsid w:val="72F771F4"/>
    <w:rsid w:val="73934AD2"/>
    <w:rsid w:val="739B0FEF"/>
    <w:rsid w:val="750837F0"/>
    <w:rsid w:val="754758CF"/>
    <w:rsid w:val="75595ECD"/>
    <w:rsid w:val="764F62AB"/>
    <w:rsid w:val="765C45EC"/>
    <w:rsid w:val="768A7619"/>
    <w:rsid w:val="772E1EBA"/>
    <w:rsid w:val="780C7474"/>
    <w:rsid w:val="781926BC"/>
    <w:rsid w:val="796D60A4"/>
    <w:rsid w:val="797A664A"/>
    <w:rsid w:val="79A031D5"/>
    <w:rsid w:val="79B47FDF"/>
    <w:rsid w:val="79E569A9"/>
    <w:rsid w:val="7A1525F7"/>
    <w:rsid w:val="7A3F0FF2"/>
    <w:rsid w:val="7AAF7383"/>
    <w:rsid w:val="7B420052"/>
    <w:rsid w:val="7BD06A28"/>
    <w:rsid w:val="7C3A7C0B"/>
    <w:rsid w:val="7C5248E4"/>
    <w:rsid w:val="7C566698"/>
    <w:rsid w:val="7C5866A3"/>
    <w:rsid w:val="7D665E44"/>
    <w:rsid w:val="7D7406BB"/>
    <w:rsid w:val="7DE94331"/>
    <w:rsid w:val="7F446A19"/>
    <w:rsid w:val="7F7452B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99"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99"/>
    <w:rPr>
      <w:rFonts w:hint="eastAsia" w:ascii="宋体" w:hAnsi="宋体" w:eastAsia="宋体" w:cs="Times New Roman"/>
      <w:sz w:val="24"/>
      <w:szCs w:val="24"/>
      <w:lang w:val="en-US" w:eastAsia="zh-CN" w:bidi="ar-SA"/>
    </w:rPr>
  </w:style>
  <w:style w:type="character" w:default="1" w:styleId="10">
    <w:name w:val="Default Paragraph Font"/>
    <w:semiHidden/>
    <w:unhideWhenUsed/>
    <w:qFormat/>
    <w:uiPriority w:val="1"/>
  </w:style>
  <w:style w:type="table" w:default="1" w:styleId="12">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First Indent"/>
    <w:basedOn w:val="3"/>
    <w:qFormat/>
    <w:uiPriority w:val="0"/>
    <w:pPr>
      <w:ind w:firstLine="420" w:firstLineChars="100"/>
    </w:pPr>
  </w:style>
  <w:style w:type="paragraph" w:styleId="3">
    <w:name w:val="Body Text"/>
    <w:basedOn w:val="1"/>
    <w:next w:val="4"/>
    <w:qFormat/>
    <w:uiPriority w:val="0"/>
    <w:pPr>
      <w:widowControl w:val="0"/>
      <w:ind w:left="101" w:firstLine="679"/>
    </w:pPr>
    <w:rPr>
      <w:rFonts w:ascii="Arial" w:hAnsi="Arial" w:cs="Times New Roman"/>
      <w:sz w:val="34"/>
      <w:szCs w:val="34"/>
    </w:rPr>
  </w:style>
  <w:style w:type="paragraph" w:styleId="4">
    <w:name w:val="Date"/>
    <w:basedOn w:val="1"/>
    <w:next w:val="1"/>
    <w:qFormat/>
    <w:uiPriority w:val="0"/>
    <w:pPr>
      <w:ind w:left="100" w:leftChars="2500"/>
    </w:pPr>
  </w:style>
  <w:style w:type="paragraph" w:styleId="5">
    <w:name w:val="Balloon Text"/>
    <w:basedOn w:val="1"/>
    <w:link w:val="18"/>
    <w:qFormat/>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qFormat/>
    <w:uiPriority w:val="0"/>
    <w:pPr>
      <w:tabs>
        <w:tab w:val="center" w:pos="4153"/>
        <w:tab w:val="right" w:pos="8306"/>
      </w:tabs>
      <w:snapToGrid w:val="0"/>
      <w:jc w:val="center"/>
    </w:pPr>
    <w:rPr>
      <w:sz w:val="18"/>
      <w:szCs w:val="18"/>
    </w:r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style>
  <w:style w:type="paragraph" w:styleId="9">
    <w:name w:val="Normal (Web)"/>
    <w:basedOn w:val="1"/>
    <w:unhideWhenUsed/>
    <w:qFormat/>
    <w:uiPriority w:val="0"/>
    <w:pPr>
      <w:spacing w:before="100" w:beforeAutospacing="1" w:after="100" w:afterAutospacing="1"/>
    </w:pPr>
  </w:style>
  <w:style w:type="character" w:styleId="11">
    <w:name w:val="Strong"/>
    <w:qFormat/>
    <w:uiPriority w:val="0"/>
    <w:rPr>
      <w:b/>
    </w:rPr>
  </w:style>
  <w:style w:type="table" w:styleId="13">
    <w:name w:val="Table Grid"/>
    <w:basedOn w:val="1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paragraph" w:customStyle="1" w:styleId="14">
    <w:name w:val="列出段落1"/>
    <w:basedOn w:val="1"/>
    <w:qFormat/>
    <w:uiPriority w:val="99"/>
    <w:pPr>
      <w:ind w:firstLine="420" w:firstLineChars="200"/>
    </w:pPr>
    <w:rPr>
      <w:rFonts w:hint="default"/>
    </w:rPr>
  </w:style>
  <w:style w:type="paragraph" w:customStyle="1" w:styleId="15">
    <w:name w:val="普通(网站) Char"/>
    <w:qFormat/>
    <w:uiPriority w:val="0"/>
    <w:pPr>
      <w:spacing w:before="100" w:beforeAutospacing="1" w:after="100" w:afterAutospacing="1"/>
    </w:pPr>
    <w:rPr>
      <w:rFonts w:ascii="宋体" w:hAnsi="宋体" w:eastAsia="宋体" w:cs="Times New Roman"/>
      <w:sz w:val="24"/>
      <w:szCs w:val="24"/>
      <w:lang w:val="en-US" w:eastAsia="zh-CN" w:bidi="ar-SA"/>
    </w:rPr>
  </w:style>
  <w:style w:type="character" w:customStyle="1" w:styleId="16">
    <w:name w:val="21"/>
    <w:qFormat/>
    <w:uiPriority w:val="0"/>
    <w:rPr>
      <w:rFonts w:hint="default" w:ascii="Wingdings" w:hAnsi="Wingdings" w:cs="Wingdings"/>
      <w:b/>
      <w:bCs/>
    </w:rPr>
  </w:style>
  <w:style w:type="paragraph" w:customStyle="1" w:styleId="17">
    <w:name w:val="列出段落2"/>
    <w:qFormat/>
    <w:uiPriority w:val="99"/>
    <w:pPr>
      <w:ind w:firstLine="420" w:firstLineChars="200"/>
    </w:pPr>
    <w:rPr>
      <w:rFonts w:ascii="宋体" w:hAnsi="宋体" w:eastAsia="宋体" w:cs="Times New Roman"/>
      <w:sz w:val="24"/>
      <w:szCs w:val="24"/>
      <w:lang w:val="en-US" w:eastAsia="zh-CN" w:bidi="ar-SA"/>
    </w:rPr>
  </w:style>
  <w:style w:type="character" w:customStyle="1" w:styleId="18">
    <w:name w:val="批注框文本 Char"/>
    <w:basedOn w:val="10"/>
    <w:link w:val="5"/>
    <w:qFormat/>
    <w:uiPriority w:val="0"/>
    <w:rPr>
      <w:rFonts w:ascii="宋体" w:hAnsi="宋体"/>
      <w:sz w:val="18"/>
      <w:szCs w:val="18"/>
    </w:rPr>
  </w:style>
  <w:style w:type="paragraph" w:customStyle="1" w:styleId="19">
    <w:name w:val="List Paragraph"/>
    <w:qFormat/>
    <w:uiPriority w:val="99"/>
    <w:pPr>
      <w:ind w:firstLine="420" w:firstLineChars="200"/>
    </w:pPr>
    <w:rPr>
      <w:rFonts w:hint="default" w:ascii="宋体" w:hAnsi="宋体" w:eastAsia="宋体" w:cs="Times New Roman"/>
      <w:sz w:val="24"/>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header" Target="header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31</Pages>
  <Words>3935</Words>
  <Characters>22430</Characters>
  <Lines>186</Lines>
  <Paragraphs>52</Paragraphs>
  <TotalTime>0</TotalTime>
  <ScaleCrop>false</ScaleCrop>
  <LinksUpToDate>false</LinksUpToDate>
  <CharactersWithSpaces>26313</CharactersWithSpaces>
  <Application>WPS Office_10.8.2.6666_F1E327BC-269C-435d-A152-05C5408002CA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2024-07-11T02:00:00Z</dcterms:created>
  <dc:creator>Administrator</dc:creator>
  <cp:lastModifiedBy>龚盼</cp:lastModifiedBy>
  <dcterms:modified xsi:type="dcterms:W3CDTF">2025-10-14T08:46:35Z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2052-10.8.2.6666</vt:lpwstr>
  </property>
  <property fmtid="{D5CDD505-2E9C-101B-9397-08002B2CF9AE}" pid="3" name="ICV">
    <vt:lpwstr>BB46EABDBB2749749395447164B066B3_12</vt:lpwstr>
  </property>
</Properties>
</file>