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eastAsia" w:ascii="方正小标宋_GBK" w:hAnsi="方正小标宋_GBK" w:eastAsia="方正小标宋_GBK" w:cs="方正小标宋_GBK"/>
          <w:color w:val="auto"/>
          <w:w w:val="80"/>
          <w:sz w:val="44"/>
          <w:szCs w:val="44"/>
          <w:shd w:val="clear" w:color="auto" w:fill="FFFFFF"/>
        </w:rPr>
      </w:pPr>
      <w:r>
        <w:rPr>
          <w:rFonts w:hint="eastAsia" w:ascii="方正小标宋_GBK" w:hAnsi="方正小标宋_GBK" w:eastAsia="方正小标宋_GBK" w:cs="方正小标宋_GBK"/>
          <w:color w:val="auto"/>
          <w:w w:val="80"/>
          <w:sz w:val="44"/>
          <w:szCs w:val="44"/>
        </w:rPr>
        <w:t>秀山土家族苗族自治县官庄街道社区卫生服务中心</w:t>
      </w:r>
      <w:r>
        <w:rPr>
          <w:rFonts w:hint="default" w:ascii="Times New Roman" w:hAnsi="Times New Roman" w:eastAsia="方正小标宋_GBK" w:cs="Times New Roman"/>
          <w:color w:val="auto"/>
          <w:w w:val="80"/>
          <w:sz w:val="44"/>
          <w:szCs w:val="44"/>
          <w:shd w:val="clear" w:color="auto" w:fill="FFFFFF"/>
        </w:rPr>
        <w:t>202</w:t>
      </w:r>
      <w:r>
        <w:rPr>
          <w:rFonts w:hint="default" w:ascii="Times New Roman" w:hAnsi="Times New Roman" w:eastAsia="方正小标宋_GBK" w:cs="Times New Roman"/>
          <w:color w:val="auto"/>
          <w:w w:val="80"/>
          <w:sz w:val="44"/>
          <w:szCs w:val="44"/>
          <w:shd w:val="clear" w:color="auto" w:fill="FFFFFF"/>
          <w:lang w:val="en-US" w:eastAsia="zh-CN"/>
        </w:rPr>
        <w:t>4</w:t>
      </w:r>
      <w:r>
        <w:rPr>
          <w:rFonts w:hint="eastAsia" w:ascii="方正小标宋_GBK" w:hAnsi="方正小标宋_GBK" w:eastAsia="方正小标宋_GBK" w:cs="方正小标宋_GBK"/>
          <w:color w:val="auto"/>
          <w:w w:val="80"/>
          <w:sz w:val="44"/>
          <w:szCs w:val="44"/>
          <w:shd w:val="clear" w:color="auto" w:fill="FFFFFF"/>
        </w:rPr>
        <w:t>年度决算说明</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eastAsia" w:ascii="方正小标宋_GBK" w:hAnsi="方正小标宋_GBK" w:eastAsia="方正小标宋_GBK" w:cs="方正小标宋_GBK"/>
          <w:color w:val="auto"/>
          <w:w w:val="80"/>
          <w:sz w:val="44"/>
          <w:szCs w:val="44"/>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黑体_GBK" w:cs="Times New Roman"/>
          <w:b w:val="0"/>
          <w:bCs w:val="0"/>
          <w:color w:val="auto"/>
          <w:sz w:val="32"/>
          <w:szCs w:val="32"/>
        </w:rPr>
      </w:pPr>
      <w:r>
        <w:rPr>
          <w:rStyle w:val="10"/>
          <w:rFonts w:hint="default" w:ascii="Times New Roman" w:hAnsi="Times New Roman" w:eastAsia="方正黑体_GBK" w:cs="Times New Roman"/>
          <w:b w:val="0"/>
          <w:bCs w:val="0"/>
          <w:color w:val="auto"/>
          <w:sz w:val="32"/>
          <w:szCs w:val="32"/>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Style w:val="10"/>
          <w:rFonts w:hint="eastAsia" w:ascii="方正楷体_GBK" w:hAnsi="方正楷体_GBK" w:eastAsia="方正楷体_GBK" w:cs="方正楷体_GBK"/>
          <w:b w:val="0"/>
          <w:bCs w:val="0"/>
          <w:color w:val="auto"/>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eastAsia" w:ascii="Times New Roman" w:hAnsi="Times New Roman" w:eastAsia="方正仿宋_GBK" w:cs="Times New Roman"/>
          <w:b w:val="0"/>
          <w:bCs w:val="0"/>
          <w:color w:val="auto"/>
          <w:sz w:val="32"/>
          <w:szCs w:val="32"/>
          <w:shd w:val="clear" w:color="auto" w:fill="FFFFFF"/>
          <w:lang w:val="en-US" w:eastAsia="zh-CN"/>
        </w:rPr>
        <w:t>本单位属于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社区卫生服务中心，应当履行以下公共卫生职责：</w:t>
      </w:r>
    </w:p>
    <w:p>
      <w:pPr>
        <w:pStyle w:val="8"/>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eastAsia" w:ascii="Times New Roman" w:hAnsi="Times New Roman" w:eastAsia="方正仿宋_GBK" w:cs="Times New Roman"/>
          <w:b w:val="0"/>
          <w:bCs w:val="0"/>
          <w:color w:val="auto"/>
          <w:sz w:val="32"/>
          <w:szCs w:val="32"/>
          <w:shd w:val="clear" w:color="auto" w:fill="FFFFFF"/>
          <w:lang w:val="en-US" w:eastAsia="zh-CN"/>
        </w:rPr>
        <w:t>1.根据国家和本市规定收集、报送辖区内卫生健康信息，建立和管理居民健康档案，提出改进辖区公共卫生状况的建议；</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eastAsia" w:ascii="Times New Roman" w:hAnsi="Times New Roman" w:eastAsia="方正仿宋_GBK" w:cs="Times New Roman"/>
          <w:b w:val="0"/>
          <w:bCs w:val="0"/>
          <w:color w:val="auto"/>
          <w:sz w:val="32"/>
          <w:szCs w:val="32"/>
          <w:shd w:val="clear" w:color="auto" w:fill="FFFFFF"/>
          <w:lang w:val="en-US" w:eastAsia="zh-CN"/>
        </w:rPr>
        <w:t>2.开展健康教育，普及健康知识；</w:t>
      </w:r>
    </w:p>
    <w:p>
      <w:pPr>
        <w:pStyle w:val="8"/>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eastAsia" w:ascii="Times New Roman" w:hAnsi="Times New Roman" w:eastAsia="方正仿宋_GBK" w:cs="Times New Roman"/>
          <w:b w:val="0"/>
          <w:bCs w:val="0"/>
          <w:color w:val="auto"/>
          <w:sz w:val="32"/>
          <w:szCs w:val="32"/>
          <w:shd w:val="clear" w:color="auto" w:fill="FFFFFF"/>
          <w:lang w:val="en-US" w:eastAsia="zh-CN"/>
        </w:rPr>
        <w:t>3.协助开展传染病以及地方病、寄生虫病的预防控制，配合开展爱国卫生工作；</w:t>
      </w:r>
    </w:p>
    <w:p>
      <w:pPr>
        <w:pStyle w:val="8"/>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eastAsia" w:ascii="Times New Roman" w:hAnsi="Times New Roman" w:eastAsia="方正仿宋_GBK" w:cs="Times New Roman"/>
          <w:b w:val="0"/>
          <w:bCs w:val="0"/>
          <w:color w:val="auto"/>
          <w:sz w:val="32"/>
          <w:szCs w:val="32"/>
          <w:shd w:val="clear" w:color="auto" w:fill="FFFFFF"/>
          <w:lang w:val="en-US" w:eastAsia="zh-CN"/>
        </w:rPr>
        <w:t>4.做好高危人群、重点慢性病患者的筛查和病例管理；</w:t>
      </w:r>
    </w:p>
    <w:p>
      <w:pPr>
        <w:pStyle w:val="8"/>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eastAsia" w:ascii="Times New Roman" w:hAnsi="Times New Roman" w:eastAsia="方正仿宋_GBK" w:cs="Times New Roman"/>
          <w:b w:val="0"/>
          <w:bCs w:val="0"/>
          <w:color w:val="auto"/>
          <w:sz w:val="32"/>
          <w:szCs w:val="32"/>
          <w:shd w:val="clear" w:color="auto" w:fill="FFFFFF"/>
          <w:lang w:val="en-US" w:eastAsia="zh-CN"/>
        </w:rPr>
        <w:t>5.提供心理健康指导服务，实施精神病社区管理；</w:t>
      </w:r>
    </w:p>
    <w:p>
      <w:pPr>
        <w:pStyle w:val="8"/>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eastAsia" w:ascii="Times New Roman" w:hAnsi="Times New Roman" w:eastAsia="方正仿宋_GBK" w:cs="Times New Roman"/>
          <w:b w:val="0"/>
          <w:bCs w:val="0"/>
          <w:color w:val="auto"/>
          <w:sz w:val="32"/>
          <w:szCs w:val="32"/>
          <w:shd w:val="clear" w:color="auto" w:fill="FFFFFF"/>
          <w:lang w:val="en-US" w:eastAsia="zh-CN"/>
        </w:rPr>
        <w:t>6.为妇女、儿童、老年人、残疾人等重点人群提供保健和康复服务；</w:t>
      </w:r>
    </w:p>
    <w:p>
      <w:pPr>
        <w:pStyle w:val="8"/>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eastAsia" w:ascii="Times New Roman" w:hAnsi="Times New Roman" w:eastAsia="方正仿宋_GBK" w:cs="Times New Roman"/>
          <w:b w:val="0"/>
          <w:bCs w:val="0"/>
          <w:color w:val="auto"/>
          <w:sz w:val="32"/>
          <w:szCs w:val="32"/>
          <w:shd w:val="clear" w:color="auto" w:fill="FFFFFF"/>
          <w:lang w:val="en-US" w:eastAsia="zh-CN"/>
        </w:rPr>
        <w:t>7.提供计划生育技术服务，协助处置辖区内突发公共卫生事件等；</w:t>
      </w:r>
    </w:p>
    <w:p>
      <w:pPr>
        <w:pStyle w:val="8"/>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eastAsia" w:ascii="Times New Roman" w:hAnsi="Times New Roman" w:eastAsia="方正仿宋_GBK" w:cs="Times New Roman"/>
          <w:b w:val="0"/>
          <w:bCs w:val="0"/>
          <w:color w:val="auto"/>
          <w:sz w:val="32"/>
          <w:szCs w:val="32"/>
          <w:shd w:val="clear" w:color="auto" w:fill="FFFFFF"/>
          <w:lang w:val="en-US" w:eastAsia="zh-CN"/>
        </w:rPr>
        <w:t>8.按要求提供其他公共卫生服务。</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rPr>
      </w:pPr>
      <w:r>
        <w:rPr>
          <w:rStyle w:val="10"/>
          <w:rFonts w:hint="default" w:ascii="方正楷体_GBK" w:hAnsi="方正楷体_GBK" w:eastAsia="方正楷体_GBK" w:cs="方正楷体_GBK"/>
          <w:b w:val="0"/>
          <w:bCs w:val="0"/>
          <w:color w:val="auto"/>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本单位下设办公室、财务科、医务科、门诊部、医技科、药房、收费室、内科、外科、妇科、理疗科、公卫科、体检中心。</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default" w:ascii="Times New Roman" w:hAnsi="Times New Roman" w:eastAsia="方正黑体_GBK" w:cs="Times New Roman"/>
          <w:b w:val="0"/>
          <w:bCs w:val="0"/>
          <w:color w:val="auto"/>
          <w:sz w:val="32"/>
          <w:szCs w:val="32"/>
          <w:shd w:val="clear" w:color="auto" w:fill="FFFFFF"/>
        </w:rPr>
      </w:pPr>
      <w:r>
        <w:rPr>
          <w:rStyle w:val="10"/>
          <w:rFonts w:hint="default" w:ascii="Times New Roman" w:hAnsi="Times New Roman" w:eastAsia="方正黑体_GBK" w:cs="Times New Roman"/>
          <w:b w:val="0"/>
          <w:bCs w:val="0"/>
          <w:color w:val="auto"/>
          <w:sz w:val="32"/>
          <w:szCs w:val="32"/>
          <w:shd w:val="clear" w:color="auto" w:fill="FFFFFF"/>
        </w:rPr>
        <w:t>二、</w:t>
      </w:r>
      <w:r>
        <w:rPr>
          <w:rStyle w:val="10"/>
          <w:rFonts w:hint="default" w:ascii="Times New Roman" w:hAnsi="Times New Roman" w:eastAsia="方正黑体_GBK" w:cs="Times New Roman"/>
          <w:b w:val="0"/>
          <w:bCs w:val="0"/>
          <w:color w:val="auto"/>
          <w:sz w:val="32"/>
          <w:szCs w:val="32"/>
          <w:shd w:val="clear" w:color="auto" w:fill="FFFFFF"/>
          <w:lang w:eastAsia="zh-CN"/>
        </w:rPr>
        <w:t>单位</w:t>
      </w:r>
      <w:r>
        <w:rPr>
          <w:rStyle w:val="10"/>
          <w:rFonts w:hint="default" w:ascii="Times New Roman" w:hAnsi="Times New Roman" w:eastAsia="方正黑体_GBK" w:cs="Times New Roman"/>
          <w:b w:val="0"/>
          <w:bCs w:val="0"/>
          <w:color w:val="auto"/>
          <w:sz w:val="32"/>
          <w:szCs w:val="32"/>
          <w:shd w:val="clear" w:color="auto" w:fill="FFFFFF"/>
        </w:rPr>
        <w:t>决算</w:t>
      </w:r>
      <w:r>
        <w:rPr>
          <w:rStyle w:val="10"/>
          <w:rFonts w:hint="default" w:ascii="Times New Roman" w:hAnsi="Times New Roman" w:eastAsia="方正黑体_GBK" w:cs="Times New Roman"/>
          <w:b w:val="0"/>
          <w:bCs w:val="0"/>
          <w:color w:val="auto"/>
          <w:sz w:val="32"/>
          <w:szCs w:val="32"/>
          <w:shd w:val="clear" w:color="auto" w:fill="FFFFFF"/>
          <w:lang w:eastAsia="zh-CN"/>
        </w:rPr>
        <w:t>收支</w:t>
      </w:r>
      <w:r>
        <w:rPr>
          <w:rStyle w:val="10"/>
          <w:rFonts w:hint="default" w:ascii="Times New Roman" w:hAnsi="Times New Roman" w:eastAsia="方正黑体_GBK" w:cs="Times New Roman"/>
          <w:b w:val="0"/>
          <w:bCs w:val="0"/>
          <w:color w:val="auto"/>
          <w:sz w:val="32"/>
          <w:szCs w:val="32"/>
          <w:shd w:val="clear" w:color="auto" w:fill="FFFFFF"/>
        </w:rPr>
        <w:t>情况说明</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lang w:val="en-US" w:eastAsia="zh-CN" w:bidi="ar-SA"/>
        </w:rPr>
      </w:pPr>
      <w:r>
        <w:rPr>
          <w:rStyle w:val="10"/>
          <w:rFonts w:hint="default" w:ascii="方正楷体_GBK" w:hAnsi="方正楷体_GBK" w:eastAsia="方正楷体_GBK" w:cs="方正楷体_GBK"/>
          <w:b w:val="0"/>
          <w:bCs w:val="0"/>
          <w:color w:val="auto"/>
          <w:sz w:val="32"/>
          <w:szCs w:val="32"/>
          <w:shd w:val="clear" w:color="auto" w:fill="FFFFFF"/>
          <w:lang w:val="en-US" w:eastAsia="zh-CN" w:bidi="ar-SA"/>
        </w:rPr>
        <w:t>（一）收入支出决算总体情况说明</w:t>
      </w:r>
    </w:p>
    <w:p>
      <w:pPr>
        <w:pStyle w:val="8"/>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none"/>
          <w:shd w:val="clear" w:color="auto" w:fill="FFFFFF"/>
          <w:lang w:val="en-US" w:eastAsia="zh-CN"/>
        </w:rPr>
      </w:pPr>
      <w:r>
        <w:rPr>
          <w:rFonts w:hint="default" w:ascii="Times New Roman" w:hAnsi="Times New Roman" w:eastAsia="方正仿宋_GBK" w:cs="Times New Roman"/>
          <w:b w:val="0"/>
          <w:bCs w:val="0"/>
          <w:color w:val="auto"/>
          <w:sz w:val="32"/>
          <w:szCs w:val="32"/>
          <w:shd w:val="clear" w:color="auto" w:fill="FFFFFF"/>
        </w:rPr>
        <w:t>2024年度收</w:t>
      </w:r>
      <w:r>
        <w:rPr>
          <w:rFonts w:hint="default" w:ascii="Times New Roman" w:hAnsi="Times New Roman" w:eastAsia="方正仿宋_GBK" w:cs="Times New Roman"/>
          <w:b w:val="0"/>
          <w:bCs w:val="0"/>
          <w:color w:val="auto"/>
          <w:sz w:val="32"/>
          <w:szCs w:val="32"/>
          <w:shd w:val="clear" w:color="auto" w:fill="FFFFFF"/>
          <w:lang w:eastAsia="zh-CN"/>
        </w:rPr>
        <w:t>、支</w:t>
      </w:r>
      <w:r>
        <w:rPr>
          <w:rFonts w:hint="default" w:ascii="Times New Roman" w:hAnsi="Times New Roman" w:eastAsia="方正仿宋_GBK" w:cs="Times New Roman"/>
          <w:b w:val="0"/>
          <w:bCs w:val="0"/>
          <w:color w:val="auto"/>
          <w:sz w:val="32"/>
          <w:szCs w:val="32"/>
          <w:shd w:val="clear" w:color="auto" w:fill="FFFFFF"/>
        </w:rPr>
        <w:t>总计</w:t>
      </w:r>
      <w:r>
        <w:rPr>
          <w:rFonts w:hint="default" w:ascii="Times New Roman" w:hAnsi="Times New Roman" w:eastAsia="方正仿宋_GBK" w:cs="Times New Roman"/>
          <w:b w:val="0"/>
          <w:bCs w:val="0"/>
          <w:color w:val="auto"/>
          <w:sz w:val="32"/>
          <w:szCs w:val="32"/>
          <w:shd w:val="clear" w:color="auto" w:fill="FFFFFF"/>
          <w:lang w:eastAsia="zh-CN"/>
        </w:rPr>
        <w:t>均为</w:t>
      </w:r>
      <w:r>
        <w:rPr>
          <w:rFonts w:hint="default" w:ascii="Times New Roman" w:hAnsi="Times New Roman" w:eastAsia="方正仿宋_GBK" w:cs="Times New Roman"/>
          <w:b w:val="0"/>
          <w:bCs w:val="0"/>
          <w:color w:val="auto"/>
          <w:sz w:val="32"/>
          <w:szCs w:val="32"/>
          <w:shd w:val="clear" w:color="auto" w:fill="FFFFFF"/>
        </w:rPr>
        <w:t>4074.19万元。收、支与2023年度相比，增加1586.12万元，增长63.8%，主要原因是</w:t>
      </w:r>
      <w:r>
        <w:rPr>
          <w:rFonts w:hint="default" w:ascii="Times New Roman" w:hAnsi="Times New Roman" w:eastAsia="方正仿宋_GBK" w:cs="Times New Roman"/>
          <w:b w:val="0"/>
          <w:bCs w:val="0"/>
          <w:color w:val="auto"/>
          <w:sz w:val="32"/>
          <w:szCs w:val="32"/>
          <w:highlight w:val="none"/>
          <w:shd w:val="clear" w:color="auto" w:fill="FFFFFF"/>
          <w:lang w:val="en-US" w:eastAsia="zh-CN"/>
        </w:rPr>
        <w:t>新建医院项目增加财政拨款的项目进度款。</w:t>
      </w:r>
    </w:p>
    <w:p>
      <w:pPr>
        <w:pStyle w:val="8"/>
        <w:keepNext w:val="0"/>
        <w:keepLines w:val="0"/>
        <w:pageBreakBefore w:val="0"/>
        <w:widowControl/>
        <w:shd w:val="clear" w:color="auto" w:fill="FFFFFF"/>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Style w:val="10"/>
          <w:rFonts w:hint="default" w:ascii="Times New Roman" w:hAnsi="Times New Roman" w:eastAsia="方正仿宋_GBK" w:cs="Times New Roman"/>
          <w:b w:val="0"/>
          <w:bCs w:val="0"/>
          <w:color w:val="auto"/>
          <w:sz w:val="32"/>
          <w:szCs w:val="32"/>
          <w:shd w:val="clear" w:color="auto" w:fill="FFFFFF"/>
          <w:lang w:val="en-US" w:eastAsia="zh-CN"/>
        </w:rPr>
        <w:t>1</w:t>
      </w:r>
      <w:r>
        <w:rPr>
          <w:rStyle w:val="10"/>
          <w:rFonts w:hint="default" w:ascii="Times New Roman" w:hAnsi="Times New Roman" w:eastAsia="方正仿宋_GBK" w:cs="Times New Roman"/>
          <w:b w:val="0"/>
          <w:bCs w:val="0"/>
          <w:color w:val="auto"/>
          <w:sz w:val="32"/>
          <w:szCs w:val="32"/>
          <w:shd w:val="clear" w:color="auto" w:fill="FFFFFF"/>
        </w:rPr>
        <w:t>.收入情况。</w:t>
      </w:r>
      <w:r>
        <w:rPr>
          <w:rFonts w:hint="default" w:ascii="Times New Roman" w:hAnsi="Times New Roman" w:eastAsia="方正仿宋_GBK" w:cs="Times New Roman"/>
          <w:b w:val="0"/>
          <w:bCs w:val="0"/>
          <w:color w:val="auto"/>
          <w:sz w:val="32"/>
          <w:szCs w:val="32"/>
          <w:shd w:val="clear" w:color="auto" w:fill="FFFFFF"/>
        </w:rPr>
        <w:t>2024年度收入合计3517.44万元，与2023年度相比，增加1099.56万元，增长45.5%，主要原因是</w:t>
      </w:r>
      <w:r>
        <w:rPr>
          <w:rFonts w:hint="default" w:ascii="Times New Roman" w:hAnsi="Times New Roman" w:eastAsia="方正仿宋_GBK" w:cs="Times New Roman"/>
          <w:b w:val="0"/>
          <w:bCs w:val="0"/>
          <w:color w:val="auto"/>
          <w:sz w:val="32"/>
          <w:szCs w:val="32"/>
          <w:shd w:val="clear" w:color="auto" w:fill="FFFFFF"/>
          <w:lang w:val="en-US" w:eastAsia="zh-CN"/>
        </w:rPr>
        <w:t>新建医院项目增加财政拨款的项目进度款。其</w:t>
      </w:r>
      <w:r>
        <w:rPr>
          <w:rFonts w:hint="default" w:ascii="Times New Roman" w:hAnsi="Times New Roman" w:eastAsia="方正仿宋_GBK" w:cs="Times New Roman"/>
          <w:b w:val="0"/>
          <w:bCs w:val="0"/>
          <w:color w:val="auto"/>
          <w:sz w:val="32"/>
          <w:szCs w:val="32"/>
          <w:shd w:val="clear" w:color="auto" w:fill="FFFFFF"/>
        </w:rPr>
        <w:t>中：财政拨款收入2754.54万元，占78.3%；事业收入722.54万元，占20.5%；经营收入0.00万元，占0.0%；其他收入40.36万元，占1.2%。此外，使用非财政拨款结余（含专用结余）0.00万元，年初结转和结余556.75万元。</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Style w:val="10"/>
          <w:rFonts w:hint="default" w:ascii="Times New Roman" w:hAnsi="Times New Roman" w:eastAsia="方正仿宋_GBK" w:cs="Times New Roman"/>
          <w:b w:val="0"/>
          <w:bCs w:val="0"/>
          <w:color w:val="auto"/>
          <w:sz w:val="32"/>
          <w:szCs w:val="32"/>
          <w:shd w:val="clear" w:color="auto" w:fill="FFFFFF"/>
          <w:lang w:val="en-US" w:eastAsia="zh-CN"/>
        </w:rPr>
        <w:t>2</w:t>
      </w:r>
      <w:r>
        <w:rPr>
          <w:rStyle w:val="10"/>
          <w:rFonts w:hint="default" w:ascii="Times New Roman" w:hAnsi="Times New Roman" w:eastAsia="方正仿宋_GBK" w:cs="Times New Roman"/>
          <w:b w:val="0"/>
          <w:bCs w:val="0"/>
          <w:color w:val="auto"/>
          <w:sz w:val="32"/>
          <w:szCs w:val="32"/>
          <w:shd w:val="clear" w:color="auto" w:fill="FFFFFF"/>
        </w:rPr>
        <w:t>.支出情况。</w:t>
      </w:r>
      <w:r>
        <w:rPr>
          <w:rFonts w:hint="default" w:ascii="Times New Roman" w:hAnsi="Times New Roman" w:eastAsia="方正仿宋_GBK" w:cs="Times New Roman"/>
          <w:b w:val="0"/>
          <w:bCs w:val="0"/>
          <w:color w:val="auto"/>
          <w:sz w:val="32"/>
          <w:szCs w:val="32"/>
          <w:shd w:val="clear" w:color="auto" w:fill="FFFFFF"/>
        </w:rPr>
        <w:t>2024年度支出合计4074.19万元，与2023年度相比，增加1634.13万元，增长67.0%，</w:t>
      </w:r>
      <w:r>
        <w:rPr>
          <w:rFonts w:hint="default" w:ascii="Times New Roman" w:hAnsi="Times New Roman" w:eastAsia="方正仿宋_GBK" w:cs="Times New Roman"/>
          <w:b w:val="0"/>
          <w:bCs w:val="0"/>
          <w:color w:val="auto"/>
          <w:sz w:val="32"/>
          <w:szCs w:val="32"/>
          <w:highlight w:val="none"/>
          <w:shd w:val="clear" w:color="auto" w:fill="FFFFFF"/>
        </w:rPr>
        <w:t>主要原因是</w:t>
      </w:r>
      <w:r>
        <w:rPr>
          <w:rFonts w:hint="default" w:ascii="Times New Roman" w:hAnsi="Times New Roman" w:eastAsia="方正仿宋_GBK" w:cs="Times New Roman"/>
          <w:b w:val="0"/>
          <w:bCs w:val="0"/>
          <w:color w:val="auto"/>
          <w:sz w:val="32"/>
          <w:szCs w:val="32"/>
          <w:shd w:val="clear" w:color="auto" w:fill="FFFFFF"/>
          <w:lang w:val="en-US" w:eastAsia="zh-CN"/>
        </w:rPr>
        <w:t>新建医院项目增加财政拨款的项目进度款。</w:t>
      </w:r>
      <w:r>
        <w:rPr>
          <w:rFonts w:hint="default" w:ascii="Times New Roman" w:hAnsi="Times New Roman" w:eastAsia="方正仿宋_GBK" w:cs="Times New Roman"/>
          <w:b w:val="0"/>
          <w:bCs w:val="0"/>
          <w:color w:val="auto"/>
          <w:sz w:val="32"/>
          <w:szCs w:val="32"/>
          <w:shd w:val="clear" w:color="auto" w:fill="FFFFFF"/>
        </w:rPr>
        <w:t>其中：基本支出1426.39万元，占35.0%；项目支出2647.80万元，占65.0%；经营支出</w:t>
      </w:r>
      <w:r>
        <w:rPr>
          <w:rFonts w:hint="default" w:ascii="Times New Roman" w:hAnsi="Times New Roman" w:eastAsia="方正仿宋_GBK" w:cs="Times New Roman"/>
          <w:b w:val="0"/>
          <w:bCs w:val="0"/>
          <w:color w:val="auto"/>
          <w:sz w:val="32"/>
          <w:szCs w:val="32"/>
        </w:rPr>
        <w:t>0.00</w:t>
      </w:r>
      <w:r>
        <w:rPr>
          <w:rFonts w:hint="default" w:ascii="Times New Roman" w:hAnsi="Times New Roman" w:eastAsia="方正仿宋_GBK" w:cs="Times New Roman"/>
          <w:b w:val="0"/>
          <w:bCs w:val="0"/>
          <w:color w:val="auto"/>
          <w:sz w:val="32"/>
          <w:szCs w:val="32"/>
          <w:shd w:val="clear" w:color="auto" w:fill="FFFFFF"/>
        </w:rPr>
        <w:t>万元，占0.0%。此外，结余分配0.00万元。</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none"/>
          <w:lang w:val="en-US" w:eastAsia="zh-CN"/>
        </w:rPr>
      </w:pPr>
      <w:r>
        <w:rPr>
          <w:rStyle w:val="10"/>
          <w:rFonts w:hint="default" w:ascii="Times New Roman" w:hAnsi="Times New Roman" w:eastAsia="方正仿宋_GBK" w:cs="Times New Roman"/>
          <w:b w:val="0"/>
          <w:bCs w:val="0"/>
          <w:color w:val="auto"/>
          <w:sz w:val="32"/>
          <w:szCs w:val="32"/>
          <w:shd w:val="clear" w:color="auto" w:fill="FFFFFF"/>
          <w:lang w:val="en-US" w:eastAsia="zh-CN"/>
        </w:rPr>
        <w:t>3</w:t>
      </w:r>
      <w:r>
        <w:rPr>
          <w:rStyle w:val="10"/>
          <w:rFonts w:hint="default" w:ascii="Times New Roman" w:hAnsi="Times New Roman" w:eastAsia="方正仿宋_GBK" w:cs="Times New Roman"/>
          <w:b w:val="0"/>
          <w:bCs w:val="0"/>
          <w:color w:val="auto"/>
          <w:sz w:val="32"/>
          <w:szCs w:val="32"/>
          <w:shd w:val="clear" w:color="auto" w:fill="FFFFFF"/>
        </w:rPr>
        <w:t>.结转结余情况。</w:t>
      </w:r>
      <w:r>
        <w:rPr>
          <w:rFonts w:hint="default" w:ascii="Times New Roman" w:hAnsi="Times New Roman" w:eastAsia="方正仿宋_GBK" w:cs="Times New Roman"/>
          <w:b w:val="0"/>
          <w:bCs w:val="0"/>
          <w:color w:val="auto"/>
          <w:sz w:val="32"/>
          <w:szCs w:val="32"/>
          <w:shd w:val="clear" w:color="auto" w:fill="FFFFFF"/>
        </w:rPr>
        <w:t>2024年度年末结转和结余0.00万元，与2023年度相比，减少48.02万元，下降100.0%，</w:t>
      </w:r>
      <w:r>
        <w:rPr>
          <w:rFonts w:hint="default" w:ascii="Times New Roman" w:hAnsi="Times New Roman" w:eastAsia="方正仿宋_GBK" w:cs="Times New Roman"/>
          <w:b w:val="0"/>
          <w:bCs w:val="0"/>
          <w:color w:val="auto"/>
          <w:sz w:val="32"/>
          <w:szCs w:val="32"/>
          <w:highlight w:val="none"/>
          <w:shd w:val="clear" w:color="auto" w:fill="FFFFFF"/>
        </w:rPr>
        <w:t>主要原因是</w:t>
      </w:r>
      <w:r>
        <w:rPr>
          <w:rFonts w:hint="default" w:ascii="Times New Roman" w:hAnsi="Times New Roman" w:eastAsia="方正仿宋_GBK" w:cs="Times New Roman"/>
          <w:b w:val="0"/>
          <w:bCs w:val="0"/>
          <w:color w:val="auto"/>
          <w:sz w:val="32"/>
          <w:szCs w:val="32"/>
          <w:highlight w:val="none"/>
          <w:shd w:val="clear" w:color="auto" w:fill="FFFFFF"/>
          <w:lang w:val="en-US" w:eastAsia="zh-CN"/>
        </w:rPr>
        <w:t>2023年是有2022年超额绩效清算留存，本年度没有留存2023年超额绩效清算</w:t>
      </w:r>
      <w:r>
        <w:rPr>
          <w:rFonts w:hint="default" w:ascii="Times New Roman" w:hAnsi="Times New Roman" w:eastAsia="方正仿宋_GBK" w:cs="Times New Roman"/>
          <w:b w:val="0"/>
          <w:bCs w:val="0"/>
          <w:color w:val="auto"/>
          <w:sz w:val="32"/>
          <w:szCs w:val="32"/>
          <w:highlight w:val="none"/>
          <w:shd w:val="clear" w:color="auto" w:fill="FFFFFF"/>
        </w:rPr>
        <w:t>。</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lang w:val="en-US" w:eastAsia="zh-CN" w:bidi="ar-SA"/>
        </w:rPr>
      </w:pPr>
      <w:r>
        <w:rPr>
          <w:rStyle w:val="10"/>
          <w:rFonts w:hint="default" w:ascii="方正楷体_GBK" w:hAnsi="方正楷体_GBK" w:eastAsia="方正楷体_GBK" w:cs="方正楷体_GBK"/>
          <w:b w:val="0"/>
          <w:bCs w:val="0"/>
          <w:color w:val="auto"/>
          <w:sz w:val="32"/>
          <w:szCs w:val="32"/>
          <w:shd w:val="clear" w:color="auto" w:fill="FFFFFF"/>
          <w:lang w:val="en-US" w:eastAsia="zh-CN" w:bidi="ar-SA"/>
        </w:rPr>
        <w:t>（二）财政拨款收入支出决算总体情况说明</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rPr>
        <w:t>2024年度财政拨款收、支总计均为3311.29万元。与2023年</w:t>
      </w:r>
      <w:r>
        <w:rPr>
          <w:rFonts w:hint="default" w:ascii="Times New Roman" w:hAnsi="Times New Roman" w:eastAsia="方正仿宋_GBK" w:cs="Times New Roman"/>
          <w:b w:val="0"/>
          <w:bCs w:val="0"/>
          <w:color w:val="auto"/>
          <w:sz w:val="32"/>
          <w:szCs w:val="32"/>
          <w:shd w:val="clear" w:color="auto" w:fill="FFFFFF"/>
          <w:lang w:eastAsia="zh-CN"/>
        </w:rPr>
        <w:t>度</w:t>
      </w:r>
      <w:r>
        <w:rPr>
          <w:rFonts w:hint="default" w:ascii="Times New Roman" w:hAnsi="Times New Roman" w:eastAsia="方正仿宋_GBK" w:cs="Times New Roman"/>
          <w:b w:val="0"/>
          <w:bCs w:val="0"/>
          <w:color w:val="auto"/>
          <w:sz w:val="32"/>
          <w:szCs w:val="32"/>
          <w:shd w:val="clear" w:color="auto" w:fill="FFFFFF"/>
        </w:rPr>
        <w:t>相比，财政拨款收、支总计各增加1839.72万元，增长125.0%。主要原因是</w:t>
      </w:r>
      <w:r>
        <w:rPr>
          <w:rFonts w:hint="default" w:ascii="Times New Roman" w:hAnsi="Times New Roman" w:eastAsia="方正仿宋_GBK" w:cs="Times New Roman"/>
          <w:b w:val="0"/>
          <w:bCs w:val="0"/>
          <w:color w:val="auto"/>
          <w:sz w:val="32"/>
          <w:szCs w:val="32"/>
          <w:shd w:val="clear" w:color="auto" w:fill="FFFFFF"/>
          <w:lang w:val="en-US" w:eastAsia="zh-CN"/>
        </w:rPr>
        <w:t>新建医院项目增加财政拨款的项目进度款。</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lang w:val="en-US" w:eastAsia="zh-CN" w:bidi="ar-SA"/>
        </w:rPr>
      </w:pPr>
      <w:r>
        <w:rPr>
          <w:rStyle w:val="10"/>
          <w:rFonts w:hint="default" w:ascii="方正楷体_GBK" w:hAnsi="方正楷体_GBK" w:eastAsia="方正楷体_GBK" w:cs="方正楷体_GBK"/>
          <w:b w:val="0"/>
          <w:bCs w:val="0"/>
          <w:color w:val="auto"/>
          <w:sz w:val="32"/>
          <w:szCs w:val="32"/>
          <w:shd w:val="clear" w:color="auto" w:fill="FFFFFF"/>
          <w:lang w:val="en-US" w:eastAsia="zh-CN" w:bidi="ar-SA"/>
        </w:rPr>
        <w:t>（三）一般公共预算财政拨款收入支出决算情况说明</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Style w:val="10"/>
          <w:rFonts w:hint="default" w:ascii="Times New Roman" w:hAnsi="Times New Roman" w:eastAsia="方正仿宋_GBK" w:cs="Times New Roman"/>
          <w:b w:val="0"/>
          <w:bCs w:val="0"/>
          <w:color w:val="auto"/>
          <w:sz w:val="32"/>
          <w:szCs w:val="32"/>
          <w:shd w:val="clear" w:color="auto" w:fill="FFFFFF"/>
        </w:rPr>
        <w:t>1.收入情况。</w:t>
      </w:r>
      <w:r>
        <w:rPr>
          <w:rFonts w:hint="default" w:ascii="Times New Roman" w:hAnsi="Times New Roman" w:eastAsia="方正仿宋_GBK" w:cs="Times New Roman"/>
          <w:b w:val="0"/>
          <w:bCs w:val="0"/>
          <w:color w:val="auto"/>
          <w:sz w:val="32"/>
          <w:szCs w:val="32"/>
          <w:shd w:val="clear" w:color="auto" w:fill="FFFFFF"/>
        </w:rPr>
        <w:t>2024年度一般公共预算财政拨款收入1694.64万元，与2023年度相比，增加223.07万元，增长15.2%。主要原因是</w:t>
      </w:r>
      <w:r>
        <w:rPr>
          <w:rFonts w:hint="default" w:ascii="Times New Roman" w:hAnsi="Times New Roman" w:eastAsia="方正仿宋_GBK" w:cs="Times New Roman"/>
          <w:b w:val="0"/>
          <w:bCs w:val="0"/>
          <w:color w:val="auto"/>
          <w:sz w:val="32"/>
          <w:szCs w:val="32"/>
          <w:shd w:val="clear" w:color="auto" w:fill="FFFFFF"/>
          <w:lang w:val="en-US" w:eastAsia="zh-CN"/>
        </w:rPr>
        <w:t>新建医院项目增加财政拨款的项目进度</w:t>
      </w:r>
      <w:r>
        <w:rPr>
          <w:rFonts w:hint="default" w:ascii="Times New Roman" w:hAnsi="Times New Roman" w:eastAsia="方正仿宋_GBK" w:cs="Times New Roman"/>
          <w:b w:val="0"/>
          <w:bCs w:val="0"/>
          <w:color w:val="auto"/>
          <w:sz w:val="32"/>
          <w:szCs w:val="32"/>
          <w:highlight w:val="none"/>
          <w:shd w:val="clear" w:color="auto" w:fill="FFFFFF"/>
          <w:lang w:val="en-US" w:eastAsia="zh-CN"/>
        </w:rPr>
        <w:t>款</w:t>
      </w:r>
      <w:r>
        <w:rPr>
          <w:rFonts w:hint="default" w:ascii="Times New Roman" w:hAnsi="Times New Roman" w:eastAsia="方正仿宋_GBK" w:cs="Times New Roman"/>
          <w:b w:val="0"/>
          <w:bCs w:val="0"/>
          <w:color w:val="auto"/>
          <w:sz w:val="32"/>
          <w:szCs w:val="32"/>
          <w:highlight w:val="none"/>
          <w:shd w:val="clear" w:color="auto" w:fill="FFFFFF"/>
        </w:rPr>
        <w:t>。</w:t>
      </w:r>
      <w:r>
        <w:rPr>
          <w:rFonts w:hint="default" w:ascii="Times New Roman" w:hAnsi="Times New Roman" w:eastAsia="方正仿宋_GBK" w:cs="Times New Roman"/>
          <w:b w:val="0"/>
          <w:bCs w:val="0"/>
          <w:color w:val="auto"/>
          <w:sz w:val="32"/>
          <w:szCs w:val="32"/>
          <w:shd w:val="clear" w:color="auto" w:fill="FFFFFF"/>
        </w:rPr>
        <w:t>较年初预算数增加1063.01万元，增长168.3%。主要原因是</w:t>
      </w:r>
      <w:r>
        <w:rPr>
          <w:rFonts w:hint="default" w:ascii="Times New Roman" w:hAnsi="Times New Roman" w:eastAsia="方正仿宋_GBK" w:cs="Times New Roman"/>
          <w:b w:val="0"/>
          <w:bCs w:val="0"/>
          <w:color w:val="auto"/>
          <w:sz w:val="32"/>
          <w:szCs w:val="32"/>
          <w:shd w:val="clear" w:color="auto" w:fill="FFFFFF"/>
          <w:lang w:val="en-US" w:eastAsia="zh-CN"/>
        </w:rPr>
        <w:t>新建医院项目增加财政拨款的项目进度款。</w:t>
      </w:r>
      <w:r>
        <w:rPr>
          <w:rFonts w:hint="default" w:ascii="Times New Roman" w:hAnsi="Times New Roman" w:eastAsia="方正仿宋_GBK" w:cs="Times New Roman"/>
          <w:b w:val="0"/>
          <w:bCs w:val="0"/>
          <w:color w:val="auto"/>
          <w:sz w:val="32"/>
          <w:szCs w:val="32"/>
          <w:shd w:val="clear" w:color="auto" w:fill="FFFFFF"/>
        </w:rPr>
        <w:t>此外，年初财政拨款结转和结余556.75万元。</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none"/>
          <w:shd w:val="clear" w:color="auto" w:fill="FFFFFF"/>
        </w:rPr>
      </w:pPr>
      <w:r>
        <w:rPr>
          <w:rStyle w:val="10"/>
          <w:rFonts w:hint="default" w:ascii="Times New Roman" w:hAnsi="Times New Roman" w:eastAsia="方正仿宋_GBK" w:cs="Times New Roman"/>
          <w:b w:val="0"/>
          <w:bCs w:val="0"/>
          <w:color w:val="auto"/>
          <w:sz w:val="32"/>
          <w:szCs w:val="32"/>
          <w:shd w:val="clear" w:color="auto" w:fill="FFFFFF"/>
        </w:rPr>
        <w:t>2.支出情况。</w:t>
      </w:r>
      <w:r>
        <w:rPr>
          <w:rFonts w:hint="default" w:ascii="Times New Roman" w:hAnsi="Times New Roman" w:eastAsia="方正仿宋_GBK" w:cs="Times New Roman"/>
          <w:b w:val="0"/>
          <w:bCs w:val="0"/>
          <w:color w:val="auto"/>
          <w:sz w:val="32"/>
          <w:szCs w:val="32"/>
          <w:shd w:val="clear" w:color="auto" w:fill="FFFFFF"/>
        </w:rPr>
        <w:t>2024年度一般公共预算财政拨款支出2251.39万元，与2023年度相比，增加827.84万元，增长58.2%。主要原因是</w:t>
      </w:r>
      <w:r>
        <w:rPr>
          <w:rFonts w:hint="default" w:ascii="Times New Roman" w:hAnsi="Times New Roman" w:eastAsia="方正仿宋_GBK" w:cs="Times New Roman"/>
          <w:b w:val="0"/>
          <w:bCs w:val="0"/>
          <w:color w:val="auto"/>
          <w:sz w:val="32"/>
          <w:szCs w:val="32"/>
          <w:shd w:val="clear" w:color="auto" w:fill="FFFFFF"/>
          <w:lang w:val="en-US" w:eastAsia="zh-CN"/>
        </w:rPr>
        <w:t>新建医院项目增加财政拨款的项目进度款。</w:t>
      </w:r>
      <w:r>
        <w:rPr>
          <w:rFonts w:hint="default" w:ascii="Times New Roman" w:hAnsi="Times New Roman" w:eastAsia="方正仿宋_GBK" w:cs="Times New Roman"/>
          <w:b w:val="0"/>
          <w:bCs w:val="0"/>
          <w:color w:val="auto"/>
          <w:sz w:val="32"/>
          <w:szCs w:val="32"/>
          <w:shd w:val="clear" w:color="auto" w:fill="FFFFFF"/>
        </w:rPr>
        <w:t>较年初预算数增加1619.76万元，增长256.4%。</w:t>
      </w:r>
      <w:r>
        <w:rPr>
          <w:rFonts w:hint="default" w:ascii="Times New Roman" w:hAnsi="Times New Roman" w:eastAsia="方正仿宋_GBK" w:cs="Times New Roman"/>
          <w:b w:val="0"/>
          <w:bCs w:val="0"/>
          <w:color w:val="auto"/>
          <w:sz w:val="32"/>
          <w:szCs w:val="32"/>
          <w:highlight w:val="none"/>
          <w:shd w:val="clear" w:color="auto" w:fill="FFFFFF"/>
        </w:rPr>
        <w:t>主要原因是</w:t>
      </w:r>
      <w:r>
        <w:rPr>
          <w:rFonts w:hint="default" w:ascii="Times New Roman" w:hAnsi="Times New Roman" w:eastAsia="方正仿宋_GBK" w:cs="Times New Roman"/>
          <w:b w:val="0"/>
          <w:bCs w:val="0"/>
          <w:color w:val="auto"/>
          <w:sz w:val="32"/>
          <w:szCs w:val="32"/>
          <w:highlight w:val="none"/>
          <w:shd w:val="clear" w:color="auto" w:fill="FFFFFF"/>
          <w:lang w:val="en-US" w:eastAsia="zh-CN"/>
        </w:rPr>
        <w:t>新建医院项目增加财政拨款的项目进度款。</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none"/>
          <w:shd w:val="clear" w:color="auto" w:fill="FFFFFF"/>
        </w:rPr>
      </w:pPr>
      <w:r>
        <w:rPr>
          <w:rFonts w:hint="default" w:ascii="Times New Roman" w:hAnsi="Times New Roman" w:eastAsia="方正仿宋_GBK" w:cs="Times New Roman"/>
          <w:b w:val="0"/>
          <w:bCs w:val="0"/>
          <w:color w:val="auto"/>
          <w:sz w:val="32"/>
          <w:szCs w:val="32"/>
          <w:highlight w:val="none"/>
          <w:shd w:val="clear" w:color="auto" w:fill="FFFFFF"/>
        </w:rPr>
        <w:t>一般公共预算财政拨款支出主要</w:t>
      </w:r>
      <w:r>
        <w:rPr>
          <w:rFonts w:hint="default" w:ascii="Times New Roman" w:hAnsi="Times New Roman" w:eastAsia="方正仿宋_GBK" w:cs="Times New Roman"/>
          <w:b w:val="0"/>
          <w:bCs w:val="0"/>
          <w:color w:val="auto"/>
          <w:sz w:val="32"/>
          <w:szCs w:val="32"/>
          <w:highlight w:val="none"/>
          <w:shd w:val="clear" w:color="auto" w:fill="FFFFFF"/>
          <w:lang w:eastAsia="zh-CN"/>
        </w:rPr>
        <w:t>用途如下</w:t>
      </w:r>
      <w:r>
        <w:rPr>
          <w:rFonts w:hint="default" w:ascii="Times New Roman" w:hAnsi="Times New Roman" w:eastAsia="方正仿宋_GBK" w:cs="Times New Roman"/>
          <w:b w:val="0"/>
          <w:bCs w:val="0"/>
          <w:color w:val="auto"/>
          <w:sz w:val="32"/>
          <w:szCs w:val="32"/>
          <w:highlight w:val="none"/>
          <w:shd w:val="clear" w:color="auto" w:fill="FFFFFF"/>
        </w:rPr>
        <w:t>：</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1</w:t>
      </w:r>
      <w:r>
        <w:rPr>
          <w:rFonts w:hint="default" w:ascii="Times New Roman" w:hAnsi="Times New Roman" w:eastAsia="方正仿宋_GBK" w:cs="Times New Roman"/>
          <w:b w:val="0"/>
          <w:bCs w:val="0"/>
          <w:color w:val="auto"/>
          <w:sz w:val="32"/>
          <w:szCs w:val="32"/>
          <w:shd w:val="clear" w:color="auto" w:fill="FFFFFF"/>
        </w:rPr>
        <w:t>）社会保障</w:t>
      </w:r>
      <w:r>
        <w:rPr>
          <w:rFonts w:hint="default" w:ascii="Times New Roman" w:hAnsi="Times New Roman" w:eastAsia="方正仿宋_GBK" w:cs="Times New Roman"/>
          <w:b w:val="0"/>
          <w:bCs w:val="0"/>
          <w:color w:val="auto"/>
          <w:sz w:val="32"/>
          <w:szCs w:val="32"/>
          <w:shd w:val="clear" w:color="auto" w:fill="FFFFFF"/>
          <w:lang w:eastAsia="zh-CN"/>
        </w:rPr>
        <w:t>和</w:t>
      </w:r>
      <w:r>
        <w:rPr>
          <w:rFonts w:hint="default" w:ascii="Times New Roman" w:hAnsi="Times New Roman" w:eastAsia="方正仿宋_GBK" w:cs="Times New Roman"/>
          <w:b w:val="0"/>
          <w:bCs w:val="0"/>
          <w:color w:val="auto"/>
          <w:sz w:val="32"/>
          <w:szCs w:val="32"/>
          <w:shd w:val="clear" w:color="auto" w:fill="FFFFFF"/>
        </w:rPr>
        <w:t>就业支出111.76万元，占5.0%，较年初预算数增加25.78万元，增长30.0%，主要原因是</w:t>
      </w:r>
      <w:r>
        <w:rPr>
          <w:rFonts w:hint="default" w:ascii="Times New Roman" w:hAnsi="Times New Roman" w:eastAsia="方正仿宋_GBK" w:cs="Times New Roman"/>
          <w:b w:val="0"/>
          <w:bCs w:val="0"/>
          <w:color w:val="auto"/>
          <w:sz w:val="32"/>
          <w:szCs w:val="32"/>
          <w:shd w:val="clear" w:color="auto" w:fill="FFFFFF"/>
          <w:lang w:val="en-US" w:eastAsia="zh-CN"/>
        </w:rPr>
        <w:t>补交2023年养老保险基数及职业年金基数。</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2</w:t>
      </w:r>
      <w:r>
        <w:rPr>
          <w:rFonts w:hint="default" w:ascii="Times New Roman" w:hAnsi="Times New Roman" w:eastAsia="方正仿宋_GBK" w:cs="Times New Roman"/>
          <w:b w:val="0"/>
          <w:bCs w:val="0"/>
          <w:color w:val="auto"/>
          <w:sz w:val="32"/>
          <w:szCs w:val="32"/>
          <w:shd w:val="clear" w:color="auto" w:fill="FFFFFF"/>
        </w:rPr>
        <w:t>）卫生健康支出1171.43万元，占52.0%，较年初预算数增加654.06万元，增长126.4%，</w:t>
      </w:r>
      <w:r>
        <w:rPr>
          <w:rFonts w:hint="default" w:ascii="Times New Roman" w:hAnsi="Times New Roman" w:eastAsia="方正仿宋_GBK" w:cs="Times New Roman"/>
          <w:b w:val="0"/>
          <w:bCs w:val="0"/>
          <w:color w:val="auto"/>
          <w:sz w:val="32"/>
          <w:szCs w:val="32"/>
          <w:highlight w:val="none"/>
          <w:shd w:val="clear" w:color="auto" w:fill="FFFFFF"/>
        </w:rPr>
        <w:t>主要原因是</w:t>
      </w:r>
      <w:r>
        <w:rPr>
          <w:rFonts w:hint="default" w:ascii="Times New Roman" w:hAnsi="Times New Roman" w:eastAsia="方正仿宋_GBK" w:cs="Times New Roman"/>
          <w:b w:val="0"/>
          <w:bCs w:val="0"/>
          <w:color w:val="auto"/>
          <w:sz w:val="32"/>
          <w:szCs w:val="32"/>
          <w:shd w:val="clear" w:color="auto" w:fill="FFFFFF"/>
          <w:lang w:val="en-US" w:eastAsia="zh-CN"/>
        </w:rPr>
        <w:t>新建医院项目增加财政拨款的项目进度款。</w:t>
      </w:r>
    </w:p>
    <w:p>
      <w:pPr>
        <w:keepNext w:val="0"/>
        <w:keepLines w:val="0"/>
        <w:pageBreakBefore w:val="0"/>
        <w:widowControl/>
        <w:kinsoku/>
        <w:wordWrap/>
        <w:overflowPunct/>
        <w:topLinePunct w:val="0"/>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lang w:val="en-US" w:eastAsia="zh-CN"/>
        </w:rPr>
      </w:pP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3</w:t>
      </w: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rPr>
        <w:t>住房保障支出</w:t>
      </w:r>
      <w:r>
        <w:rPr>
          <w:rFonts w:hint="default" w:ascii="Times New Roman" w:hAnsi="Times New Roman" w:eastAsia="方正仿宋_GBK" w:cs="Times New Roman"/>
          <w:b w:val="0"/>
          <w:bCs w:val="0"/>
          <w:color w:val="auto"/>
          <w:sz w:val="32"/>
          <w:szCs w:val="32"/>
          <w:shd w:val="clear" w:color="auto" w:fill="FFFFFF"/>
        </w:rPr>
        <w:t>28.41万元，占1.3%，较年初预算数增加0.13万元，增长0.5%，主要原因是</w:t>
      </w:r>
      <w:r>
        <w:rPr>
          <w:rFonts w:hint="default" w:ascii="Times New Roman" w:hAnsi="Times New Roman" w:eastAsia="方正仿宋_GBK" w:cs="Times New Roman"/>
          <w:b w:val="0"/>
          <w:bCs w:val="0"/>
          <w:color w:val="auto"/>
          <w:sz w:val="32"/>
          <w:szCs w:val="32"/>
          <w:shd w:val="clear" w:color="auto" w:fill="FFFFFF"/>
          <w:lang w:val="en-US" w:eastAsia="zh-CN"/>
        </w:rPr>
        <w:t>人员增加相应的住房公积金缴费增加。</w:t>
      </w:r>
    </w:p>
    <w:p>
      <w:pPr>
        <w:keepNext w:val="0"/>
        <w:keepLines w:val="0"/>
        <w:pageBreakBefore w:val="0"/>
        <w:widowControl/>
        <w:kinsoku/>
        <w:wordWrap/>
        <w:overflowPunct/>
        <w:topLinePunct w:val="0"/>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4</w:t>
      </w:r>
      <w:r>
        <w:rPr>
          <w:rFonts w:hint="default" w:ascii="Times New Roman" w:hAnsi="Times New Roman" w:eastAsia="方正仿宋_GBK" w:cs="Times New Roman"/>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rPr>
        <w:t>其他支出</w:t>
      </w:r>
      <w:r>
        <w:rPr>
          <w:rFonts w:hint="default" w:ascii="Times New Roman" w:hAnsi="Times New Roman" w:eastAsia="方正仿宋_GBK" w:cs="Times New Roman"/>
          <w:b w:val="0"/>
          <w:bCs w:val="0"/>
          <w:color w:val="auto"/>
          <w:sz w:val="32"/>
          <w:szCs w:val="32"/>
          <w:shd w:val="clear" w:color="auto" w:fill="FFFFFF"/>
        </w:rPr>
        <w:t>939.80万元，占41.7%，较年初预算数增加939.80万元，增长100.0%，主要原因是</w:t>
      </w:r>
      <w:r>
        <w:rPr>
          <w:rFonts w:hint="default" w:ascii="Times New Roman" w:hAnsi="Times New Roman" w:eastAsia="方正仿宋_GBK" w:cs="Times New Roman"/>
          <w:b w:val="0"/>
          <w:bCs w:val="0"/>
          <w:color w:val="auto"/>
          <w:sz w:val="32"/>
          <w:szCs w:val="32"/>
          <w:shd w:val="clear" w:color="auto" w:fill="FFFFFF"/>
          <w:lang w:val="en-US" w:eastAsia="zh-CN"/>
        </w:rPr>
        <w:t>新建医院项目增加财政拨款的项目进度款。</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Style w:val="10"/>
          <w:rFonts w:hint="default" w:ascii="Times New Roman" w:hAnsi="Times New Roman" w:eastAsia="方正仿宋_GBK" w:cs="Times New Roman"/>
          <w:b w:val="0"/>
          <w:bCs w:val="0"/>
          <w:color w:val="auto"/>
          <w:sz w:val="32"/>
          <w:szCs w:val="32"/>
          <w:shd w:val="clear" w:color="auto" w:fill="FFFFFF"/>
        </w:rPr>
        <w:t>3.结转结余情况。</w:t>
      </w:r>
      <w:r>
        <w:rPr>
          <w:rFonts w:hint="default" w:ascii="Times New Roman" w:hAnsi="Times New Roman" w:eastAsia="方正仿宋_GBK" w:cs="Times New Roman"/>
          <w:b w:val="0"/>
          <w:bCs w:val="0"/>
          <w:color w:val="auto"/>
          <w:sz w:val="32"/>
          <w:szCs w:val="32"/>
          <w:shd w:val="clear" w:color="auto" w:fill="FFFFFF"/>
        </w:rPr>
        <w:t>2024年度年末一般公共预算财政拨款结转和结余0.00万元，与2023年度相比，减少48.02万元，下降100.0%，</w:t>
      </w:r>
      <w:r>
        <w:rPr>
          <w:rFonts w:hint="default" w:ascii="Times New Roman" w:hAnsi="Times New Roman" w:eastAsia="方正仿宋_GBK" w:cs="Times New Roman"/>
          <w:b w:val="0"/>
          <w:bCs w:val="0"/>
          <w:color w:val="auto"/>
          <w:sz w:val="32"/>
          <w:szCs w:val="32"/>
          <w:shd w:val="clear" w:color="auto" w:fill="FFFFFF"/>
          <w:lang w:val="en-US" w:eastAsia="zh-CN"/>
        </w:rPr>
        <w:t>2023年是有2022年超额绩效清算留存，本年度没有留存2023年超额绩效清</w:t>
      </w:r>
      <w:r>
        <w:rPr>
          <w:rFonts w:hint="default" w:ascii="Times New Roman" w:hAnsi="Times New Roman" w:eastAsia="方正仿宋_GBK" w:cs="Times New Roman"/>
          <w:b w:val="0"/>
          <w:bCs w:val="0"/>
          <w:color w:val="auto"/>
          <w:sz w:val="32"/>
          <w:szCs w:val="32"/>
          <w:highlight w:val="none"/>
          <w:shd w:val="clear" w:color="auto" w:fill="FFFFFF"/>
          <w:lang w:val="en-US" w:eastAsia="zh-CN"/>
        </w:rPr>
        <w:t>算</w:t>
      </w:r>
      <w:r>
        <w:rPr>
          <w:rFonts w:hint="default" w:ascii="Times New Roman" w:hAnsi="Times New Roman" w:eastAsia="方正仿宋_GBK" w:cs="Times New Roman"/>
          <w:b w:val="0"/>
          <w:bCs w:val="0"/>
          <w:color w:val="auto"/>
          <w:sz w:val="32"/>
          <w:szCs w:val="32"/>
          <w:highlight w:val="none"/>
          <w:shd w:val="clear" w:color="auto" w:fill="FFFFFF"/>
        </w:rPr>
        <w:t>。</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lang w:val="en-US" w:eastAsia="zh-CN" w:bidi="ar-SA"/>
        </w:rPr>
      </w:pPr>
      <w:r>
        <w:rPr>
          <w:rStyle w:val="10"/>
          <w:rFonts w:hint="default" w:ascii="方正楷体_GBK" w:hAnsi="方正楷体_GBK" w:eastAsia="方正楷体_GBK" w:cs="方正楷体_GBK"/>
          <w:b w:val="0"/>
          <w:bCs w:val="0"/>
          <w:color w:val="auto"/>
          <w:sz w:val="32"/>
          <w:szCs w:val="32"/>
          <w:shd w:val="clear" w:color="auto" w:fill="FFFFFF"/>
          <w:lang w:val="en-US" w:eastAsia="zh-CN" w:bidi="ar-SA"/>
        </w:rPr>
        <w:t>（四）一般公共预算财政拨款基本支出决算情况说明</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highlight w:val="none"/>
          <w:shd w:val="clear" w:color="auto" w:fill="FFFFFF"/>
          <w:lang w:eastAsia="zh-CN"/>
        </w:rPr>
      </w:pPr>
      <w:r>
        <w:rPr>
          <w:rFonts w:hint="default" w:ascii="Times New Roman" w:hAnsi="Times New Roman" w:eastAsia="方正仿宋_GBK" w:cs="Times New Roman"/>
          <w:b w:val="0"/>
          <w:bCs w:val="0"/>
          <w:color w:val="auto"/>
          <w:sz w:val="32"/>
          <w:szCs w:val="32"/>
          <w:highlight w:val="none"/>
          <w:shd w:val="clear" w:color="auto" w:fill="FFFFFF"/>
        </w:rPr>
        <w:t>2024年度一般公共财政拨款基本支出663.49万元</w:t>
      </w:r>
      <w:r>
        <w:rPr>
          <w:rFonts w:hint="eastAsia" w:ascii="Times New Roman" w:hAnsi="Times New Roman" w:eastAsia="方正仿宋_GBK" w:cs="Times New Roman"/>
          <w:b w:val="0"/>
          <w:bCs w:val="0"/>
          <w:color w:val="auto"/>
          <w:sz w:val="32"/>
          <w:szCs w:val="32"/>
          <w:highlight w:val="none"/>
          <w:shd w:val="clear" w:color="auto" w:fill="FFFFFF"/>
          <w:lang w:eastAsia="zh-CN"/>
        </w:rPr>
        <w:t>。</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jc w:val="left"/>
        <w:textAlignment w:val="auto"/>
        <w:rPr>
          <w:rFonts w:hint="default" w:ascii="Times New Roman" w:hAnsi="Times New Roman" w:eastAsia="方正仿宋_GBK" w:cs="Times New Roman"/>
          <w:b w:val="0"/>
          <w:bCs w:val="0"/>
          <w:color w:val="auto"/>
          <w:sz w:val="32"/>
          <w:szCs w:val="32"/>
          <w:highlight w:val="none"/>
          <w:shd w:val="clear" w:color="auto" w:fill="FFFFFF"/>
        </w:rPr>
      </w:pPr>
      <w:r>
        <w:rPr>
          <w:rFonts w:hint="default" w:ascii="Times New Roman" w:hAnsi="Times New Roman" w:eastAsia="方正仿宋_GBK" w:cs="Times New Roman"/>
          <w:b w:val="0"/>
          <w:bCs w:val="0"/>
          <w:color w:val="auto"/>
          <w:sz w:val="32"/>
          <w:szCs w:val="32"/>
          <w:highlight w:val="none"/>
          <w:shd w:val="clear" w:color="auto" w:fill="FFFFFF"/>
        </w:rPr>
        <w:t>其中：</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left"/>
        <w:textAlignment w:val="auto"/>
        <w:rPr>
          <w:rFonts w:hint="default" w:ascii="Times New Roman" w:hAnsi="Times New Roman" w:eastAsia="方正仿宋_GBK" w:cs="Times New Roman"/>
          <w:b w:val="0"/>
          <w:bCs w:val="0"/>
          <w:color w:val="auto"/>
          <w:kern w:val="0"/>
          <w:sz w:val="32"/>
          <w:szCs w:val="32"/>
          <w:lang w:val="en-US" w:eastAsia="zh-CN" w:bidi="ar"/>
        </w:rPr>
      </w:pPr>
      <w:r>
        <w:rPr>
          <w:rFonts w:hint="default" w:ascii="Times New Roman" w:hAnsi="Times New Roman" w:eastAsia="方正仿宋_GBK" w:cs="Times New Roman"/>
          <w:b w:val="0"/>
          <w:bCs w:val="0"/>
          <w:color w:val="auto"/>
          <w:sz w:val="32"/>
          <w:szCs w:val="32"/>
          <w:shd w:val="clear" w:color="auto" w:fill="FFFFFF"/>
        </w:rPr>
        <w:t>人员经费651.03万元，与2023年度相比，增加19.29万元，增长3.1%，主要原因是</w:t>
      </w:r>
      <w:r>
        <w:rPr>
          <w:rFonts w:hint="default" w:ascii="Times New Roman" w:hAnsi="Times New Roman" w:eastAsia="方正仿宋_GBK" w:cs="Times New Roman"/>
          <w:b w:val="0"/>
          <w:bCs w:val="0"/>
          <w:color w:val="auto"/>
          <w:sz w:val="32"/>
          <w:szCs w:val="32"/>
          <w:shd w:val="clear" w:color="auto" w:fill="FFFFFF"/>
          <w:lang w:val="en-US" w:eastAsia="zh-CN"/>
        </w:rPr>
        <w:t>补交2023年养老保险基数及职业年金基数。</w:t>
      </w:r>
      <w:r>
        <w:rPr>
          <w:rFonts w:hint="default" w:ascii="Times New Roman" w:hAnsi="Times New Roman" w:eastAsia="方正仿宋_GBK" w:cs="Times New Roman"/>
          <w:b w:val="0"/>
          <w:bCs w:val="0"/>
          <w:color w:val="auto"/>
          <w:kern w:val="0"/>
          <w:sz w:val="32"/>
          <w:szCs w:val="32"/>
          <w:lang w:val="en-US" w:eastAsia="zh-CN" w:bidi="ar"/>
        </w:rPr>
        <w:t>人员经费用途主要包括人员社会保障、工资、绩效、津补贴支出等。</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left"/>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rPr>
        <w:t>公用经费12.46万元，与2023年度相比，减少58.23万元，下降82.4%，</w:t>
      </w:r>
      <w:r>
        <w:rPr>
          <w:rFonts w:hint="default" w:ascii="Times New Roman" w:hAnsi="Times New Roman" w:eastAsia="方正仿宋_GBK" w:cs="Times New Roman"/>
          <w:b w:val="0"/>
          <w:bCs w:val="0"/>
          <w:color w:val="auto"/>
          <w:kern w:val="0"/>
          <w:sz w:val="32"/>
          <w:szCs w:val="32"/>
          <w:lang w:val="en-US" w:eastAsia="zh-CN" w:bidi="ar"/>
        </w:rPr>
        <w:t>主要原因是业务收入减少，相应的耗材、药品支出减少、水电费用减少。公用经费用途主要包括培训支出、差旅支出、水电支出等。</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lang w:val="en-US" w:eastAsia="zh-CN" w:bidi="ar-SA"/>
        </w:rPr>
      </w:pPr>
      <w:r>
        <w:rPr>
          <w:rStyle w:val="10"/>
          <w:rFonts w:hint="default" w:ascii="方正楷体_GBK" w:hAnsi="方正楷体_GBK" w:eastAsia="方正楷体_GBK" w:cs="方正楷体_GBK"/>
          <w:b w:val="0"/>
          <w:bCs w:val="0"/>
          <w:color w:val="auto"/>
          <w:sz w:val="32"/>
          <w:szCs w:val="32"/>
          <w:shd w:val="clear" w:color="auto" w:fill="FFFFFF"/>
          <w:lang w:val="en-US" w:eastAsia="zh-CN" w:bidi="ar-SA"/>
        </w:rPr>
        <w:t>（五）政府性基金预算收支决算情况说明</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2024年度政府性基金预算财政拨款年初结转结余0.00万元，年末结转结余0.00万元。本年收入1059.90万元，与2023年度相比，增加1059.90万元，增长100.0%，主要原因</w:t>
      </w:r>
      <w:r>
        <w:rPr>
          <w:rFonts w:hint="default" w:ascii="Times New Roman" w:hAnsi="Times New Roman" w:eastAsia="方正仿宋_GBK" w:cs="Times New Roman"/>
          <w:b w:val="0"/>
          <w:bCs w:val="0"/>
          <w:color w:val="auto"/>
          <w:sz w:val="32"/>
          <w:szCs w:val="32"/>
          <w:highlight w:val="none"/>
          <w:shd w:val="clear" w:color="auto" w:fill="FFFFFF"/>
        </w:rPr>
        <w:t>是</w:t>
      </w:r>
      <w:r>
        <w:rPr>
          <w:rFonts w:hint="default" w:ascii="Times New Roman" w:hAnsi="Times New Roman" w:eastAsia="方正仿宋_GBK" w:cs="Times New Roman"/>
          <w:b w:val="0"/>
          <w:bCs w:val="0"/>
          <w:color w:val="auto"/>
          <w:sz w:val="32"/>
          <w:szCs w:val="32"/>
          <w:highlight w:val="none"/>
          <w:shd w:val="clear" w:color="auto" w:fill="FFFFFF"/>
          <w:lang w:val="en-US" w:eastAsia="zh-CN"/>
        </w:rPr>
        <w:t>新建医院项目增加政府性基金预算。</w:t>
      </w:r>
      <w:r>
        <w:rPr>
          <w:rFonts w:hint="default" w:ascii="Times New Roman" w:hAnsi="Times New Roman" w:eastAsia="方正仿宋_GBK" w:cs="Times New Roman"/>
          <w:b w:val="0"/>
          <w:bCs w:val="0"/>
          <w:color w:val="auto"/>
          <w:sz w:val="32"/>
          <w:szCs w:val="32"/>
          <w:highlight w:val="none"/>
          <w:shd w:val="clear" w:color="auto" w:fill="FFFFFF"/>
        </w:rPr>
        <w:t>本年支出1059.90万元，与2023年度相比，增加1059.90万元，增长100.0%，主要原因是</w:t>
      </w:r>
      <w:r>
        <w:rPr>
          <w:rFonts w:hint="default" w:ascii="Times New Roman" w:hAnsi="Times New Roman" w:eastAsia="方正仿宋_GBK" w:cs="Times New Roman"/>
          <w:b w:val="0"/>
          <w:bCs w:val="0"/>
          <w:color w:val="auto"/>
          <w:sz w:val="32"/>
          <w:szCs w:val="32"/>
          <w:highlight w:val="none"/>
          <w:shd w:val="clear" w:color="auto" w:fill="FFFFFF"/>
          <w:lang w:val="en-US" w:eastAsia="zh-CN"/>
        </w:rPr>
        <w:t>新建医院项</w:t>
      </w:r>
      <w:r>
        <w:rPr>
          <w:rFonts w:hint="default" w:ascii="Times New Roman" w:hAnsi="Times New Roman" w:eastAsia="方正仿宋_GBK" w:cs="Times New Roman"/>
          <w:b w:val="0"/>
          <w:bCs w:val="0"/>
          <w:color w:val="auto"/>
          <w:sz w:val="32"/>
          <w:szCs w:val="32"/>
          <w:shd w:val="clear" w:color="auto" w:fill="FFFFFF"/>
          <w:lang w:val="en-US" w:eastAsia="zh-CN"/>
        </w:rPr>
        <w:t>目增加政府性基金预算，相应的工程项目就有政府性基金支出。</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rPr>
      </w:pPr>
      <w:r>
        <w:rPr>
          <w:rStyle w:val="10"/>
          <w:rFonts w:hint="default" w:ascii="方正楷体_GBK" w:hAnsi="方正楷体_GBK" w:eastAsia="方正楷体_GBK" w:cs="方正楷体_GBK"/>
          <w:b w:val="0"/>
          <w:bCs w:val="0"/>
          <w:color w:val="auto"/>
          <w:sz w:val="32"/>
          <w:szCs w:val="32"/>
          <w:shd w:val="clear" w:color="auto" w:fill="FFFFFF"/>
        </w:rPr>
        <w:t>（六）国有资本经营预算财政拨款支出决算情况说明</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kern w:val="0"/>
          <w:sz w:val="32"/>
          <w:szCs w:val="32"/>
          <w:lang w:val="en-US" w:eastAsia="zh-CN" w:bidi="ar"/>
        </w:rPr>
        <w:t>本单位2024年度无国有资本经营预算财政拨款支出。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default" w:ascii="Times New Roman" w:hAnsi="Times New Roman" w:eastAsia="方正黑体_GBK" w:cs="Times New Roman"/>
          <w:b w:val="0"/>
          <w:bCs w:val="0"/>
          <w:color w:val="auto"/>
          <w:sz w:val="32"/>
          <w:szCs w:val="32"/>
          <w:shd w:val="clear" w:color="auto" w:fill="FFFFFF"/>
        </w:rPr>
      </w:pPr>
      <w:r>
        <w:rPr>
          <w:rStyle w:val="10"/>
          <w:rFonts w:hint="default" w:ascii="Times New Roman" w:hAnsi="Times New Roman" w:eastAsia="方正黑体_GBK" w:cs="Times New Roman"/>
          <w:b w:val="0"/>
          <w:bCs w:val="0"/>
          <w:color w:val="auto"/>
          <w:sz w:val="32"/>
          <w:szCs w:val="32"/>
          <w:shd w:val="clear" w:color="auto" w:fill="FFFFFF"/>
        </w:rPr>
        <w:t>三、</w:t>
      </w:r>
      <w:r>
        <w:rPr>
          <w:rStyle w:val="10"/>
          <w:rFonts w:hint="default" w:ascii="Times New Roman" w:hAnsi="Times New Roman" w:eastAsia="方正黑体_GBK" w:cs="Times New Roman"/>
          <w:b w:val="0"/>
          <w:bCs w:val="0"/>
          <w:color w:val="auto"/>
          <w:sz w:val="32"/>
          <w:szCs w:val="32"/>
          <w:shd w:val="clear" w:color="auto" w:fill="FFFFFF"/>
          <w:lang w:eastAsia="zh-CN"/>
        </w:rPr>
        <w:t>财政拨款</w:t>
      </w:r>
      <w:r>
        <w:rPr>
          <w:rStyle w:val="10"/>
          <w:rFonts w:hint="default" w:ascii="Times New Roman" w:hAnsi="Times New Roman" w:eastAsia="方正黑体_GBK" w:cs="Times New Roman"/>
          <w:b w:val="0"/>
          <w:bCs w:val="0"/>
          <w:color w:val="auto"/>
          <w:sz w:val="32"/>
          <w:szCs w:val="32"/>
          <w:shd w:val="clear" w:color="auto" w:fill="FFFFFF"/>
        </w:rPr>
        <w:t>“三公”经费情况说明</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lang w:val="en-US" w:eastAsia="zh-CN" w:bidi="ar-SA"/>
        </w:rPr>
      </w:pPr>
      <w:r>
        <w:rPr>
          <w:rStyle w:val="10"/>
          <w:rFonts w:hint="default" w:ascii="方正楷体_GBK" w:hAnsi="方正楷体_GBK" w:eastAsia="方正楷体_GBK" w:cs="方正楷体_GBK"/>
          <w:b w:val="0"/>
          <w:bCs w:val="0"/>
          <w:color w:val="auto"/>
          <w:sz w:val="32"/>
          <w:szCs w:val="32"/>
          <w:shd w:val="clear" w:color="auto" w:fill="FFFFFF"/>
          <w:lang w:val="en-US" w:eastAsia="zh-CN" w:bidi="ar-SA"/>
        </w:rPr>
        <w:t>（一）“三公”经费支出总体情况说明</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b w:val="0"/>
          <w:bCs w:val="0"/>
          <w:color w:val="auto"/>
          <w:kern w:val="0"/>
          <w:sz w:val="32"/>
          <w:szCs w:val="32"/>
          <w:highlight w:val="none"/>
          <w:lang w:val="en-US" w:eastAsia="zh-CN" w:bidi="ar"/>
        </w:rPr>
      </w:pPr>
      <w:r>
        <w:rPr>
          <w:rFonts w:hint="eastAsia" w:ascii="Times New Roman" w:hAnsi="Times New Roman" w:eastAsia="方正仿宋_GBK" w:cs="Times New Roman"/>
          <w:b w:val="0"/>
          <w:bCs w:val="0"/>
          <w:color w:val="auto"/>
          <w:kern w:val="0"/>
          <w:sz w:val="32"/>
          <w:szCs w:val="32"/>
          <w:highlight w:val="none"/>
          <w:lang w:val="en-US" w:eastAsia="zh-CN" w:bidi="ar"/>
        </w:rPr>
        <w:t>本</w:t>
      </w:r>
      <w:r>
        <w:rPr>
          <w:rFonts w:hint="default" w:ascii="Times New Roman" w:hAnsi="Times New Roman" w:eastAsia="方正仿宋_GBK" w:cs="Times New Roman"/>
          <w:b w:val="0"/>
          <w:bCs w:val="0"/>
          <w:color w:val="auto"/>
          <w:kern w:val="0"/>
          <w:sz w:val="32"/>
          <w:szCs w:val="32"/>
          <w:highlight w:val="none"/>
          <w:lang w:val="en-US" w:eastAsia="zh-CN" w:bidi="ar"/>
        </w:rPr>
        <w:t>单位属于差额拨款单位，未使用财政资金保障“三公”经费。</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rPr>
      </w:pPr>
      <w:r>
        <w:rPr>
          <w:rStyle w:val="10"/>
          <w:rFonts w:hint="default" w:ascii="方正楷体_GBK" w:hAnsi="方正楷体_GBK" w:eastAsia="方正楷体_GBK" w:cs="方正楷体_GBK"/>
          <w:b w:val="0"/>
          <w:bCs w:val="0"/>
          <w:color w:val="auto"/>
          <w:sz w:val="32"/>
          <w:szCs w:val="32"/>
          <w:shd w:val="clear" w:color="auto" w:fill="FFFFFF"/>
        </w:rPr>
        <w:t>（二）“三公”经费分项支出情况</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shd w:val="clear" w:color="auto" w:fill="FFFFFF"/>
        </w:rPr>
        <w:t>202</w:t>
      </w:r>
      <w:r>
        <w:rPr>
          <w:rFonts w:hint="default" w:ascii="Times New Roman" w:hAnsi="Times New Roman" w:eastAsia="方正仿宋_GBK" w:cs="Times New Roman"/>
          <w:b w:val="0"/>
          <w:bCs w:val="0"/>
          <w:color w:val="auto"/>
          <w:sz w:val="32"/>
          <w:szCs w:val="32"/>
          <w:shd w:val="clear" w:color="auto" w:fill="FFFFFF"/>
          <w:lang w:val="en-US" w:eastAsia="zh-CN"/>
        </w:rPr>
        <w:t>4</w:t>
      </w:r>
      <w:r>
        <w:rPr>
          <w:rFonts w:hint="default" w:ascii="Times New Roman" w:hAnsi="Times New Roman" w:eastAsia="方正仿宋_GBK" w:cs="Times New Roman"/>
          <w:b w:val="0"/>
          <w:bCs w:val="0"/>
          <w:color w:val="auto"/>
          <w:sz w:val="32"/>
          <w:szCs w:val="32"/>
          <w:shd w:val="clear" w:color="auto" w:fill="FFFFFF"/>
        </w:rPr>
        <w:t>年度本单位</w:t>
      </w:r>
      <w:r>
        <w:rPr>
          <w:rFonts w:hint="default" w:ascii="Times New Roman" w:hAnsi="Times New Roman" w:eastAsia="方正仿宋_GBK" w:cs="Times New Roman"/>
          <w:b w:val="0"/>
          <w:bCs w:val="0"/>
          <w:color w:val="auto"/>
          <w:sz w:val="32"/>
          <w:szCs w:val="32"/>
          <w:shd w:val="clear" w:color="auto" w:fill="FFFFFF"/>
          <w:lang w:eastAsia="zh-CN"/>
        </w:rPr>
        <w:t>无</w:t>
      </w:r>
      <w:r>
        <w:rPr>
          <w:rFonts w:hint="default" w:ascii="Times New Roman" w:hAnsi="Times New Roman" w:eastAsia="方正仿宋_GBK" w:cs="Times New Roman"/>
          <w:b w:val="0"/>
          <w:bCs w:val="0"/>
          <w:color w:val="auto"/>
          <w:sz w:val="32"/>
          <w:szCs w:val="32"/>
          <w:shd w:val="clear" w:color="auto" w:fill="FFFFFF"/>
        </w:rPr>
        <w:t>因公出国（境）费用</w:t>
      </w:r>
      <w:r>
        <w:rPr>
          <w:rFonts w:hint="default" w:ascii="Times New Roman" w:hAnsi="Times New Roman" w:eastAsia="方正仿宋_GBK" w:cs="Times New Roman"/>
          <w:b w:val="0"/>
          <w:bCs w:val="0"/>
          <w:color w:val="auto"/>
          <w:sz w:val="32"/>
          <w:szCs w:val="32"/>
          <w:shd w:val="clear" w:color="auto" w:fill="FFFFFF"/>
          <w:lang w:eastAsia="zh-CN"/>
        </w:rPr>
        <w:t>，</w:t>
      </w:r>
      <w:r>
        <w:rPr>
          <w:rFonts w:hint="default" w:ascii="Times New Roman" w:hAnsi="Times New Roman" w:eastAsia="方正仿宋_GBK" w:cs="Times New Roman"/>
          <w:b w:val="0"/>
          <w:bCs w:val="0"/>
          <w:color w:val="auto"/>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shd w:val="clear" w:color="auto" w:fill="FFFFFF"/>
        </w:rPr>
        <w:t>202</w:t>
      </w:r>
      <w:r>
        <w:rPr>
          <w:rFonts w:hint="default" w:ascii="Times New Roman" w:hAnsi="Times New Roman" w:eastAsia="方正仿宋_GBK" w:cs="Times New Roman"/>
          <w:b w:val="0"/>
          <w:bCs w:val="0"/>
          <w:color w:val="auto"/>
          <w:sz w:val="32"/>
          <w:szCs w:val="32"/>
          <w:shd w:val="clear" w:color="auto" w:fill="FFFFFF"/>
          <w:lang w:val="en-US" w:eastAsia="zh-CN"/>
        </w:rPr>
        <w:t>4</w:t>
      </w:r>
      <w:r>
        <w:rPr>
          <w:rFonts w:hint="default" w:ascii="Times New Roman" w:hAnsi="Times New Roman" w:eastAsia="方正仿宋_GBK" w:cs="Times New Roman"/>
          <w:b w:val="0"/>
          <w:bCs w:val="0"/>
          <w:color w:val="auto"/>
          <w:sz w:val="32"/>
          <w:szCs w:val="32"/>
          <w:shd w:val="clear" w:color="auto" w:fill="FFFFFF"/>
        </w:rPr>
        <w:t>年度本单位</w:t>
      </w:r>
      <w:r>
        <w:rPr>
          <w:rFonts w:hint="default" w:ascii="Times New Roman" w:hAnsi="Times New Roman" w:eastAsia="方正仿宋_GBK" w:cs="Times New Roman"/>
          <w:b w:val="0"/>
          <w:bCs w:val="0"/>
          <w:color w:val="auto"/>
          <w:sz w:val="32"/>
          <w:szCs w:val="32"/>
          <w:shd w:val="clear" w:color="auto" w:fill="FFFFFF"/>
          <w:lang w:eastAsia="zh-CN"/>
        </w:rPr>
        <w:t>无公务车购置费，</w:t>
      </w:r>
      <w:r>
        <w:rPr>
          <w:rFonts w:hint="default" w:ascii="Times New Roman" w:hAnsi="Times New Roman" w:eastAsia="方正仿宋_GBK" w:cs="Times New Roman"/>
          <w:b w:val="0"/>
          <w:bCs w:val="0"/>
          <w:color w:val="auto"/>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color w:val="auto"/>
          <w:sz w:val="32"/>
          <w:szCs w:val="32"/>
          <w:shd w:val="clear" w:color="auto" w:fill="FFFFFF"/>
          <w:lang w:eastAsia="zh-CN"/>
        </w:rPr>
      </w:pPr>
      <w:r>
        <w:rPr>
          <w:rFonts w:hint="default" w:ascii="Times New Roman" w:hAnsi="Times New Roman" w:eastAsia="方正仿宋_GBK" w:cs="Times New Roman"/>
          <w:b w:val="0"/>
          <w:bCs w:val="0"/>
          <w:color w:val="auto"/>
          <w:sz w:val="32"/>
          <w:szCs w:val="32"/>
          <w:shd w:val="clear" w:color="auto" w:fill="FFFFFF"/>
        </w:rPr>
        <w:t>202</w:t>
      </w:r>
      <w:r>
        <w:rPr>
          <w:rFonts w:hint="default" w:ascii="Times New Roman" w:hAnsi="Times New Roman" w:eastAsia="方正仿宋_GBK" w:cs="Times New Roman"/>
          <w:b w:val="0"/>
          <w:bCs w:val="0"/>
          <w:color w:val="auto"/>
          <w:sz w:val="32"/>
          <w:szCs w:val="32"/>
          <w:shd w:val="clear" w:color="auto" w:fill="FFFFFF"/>
          <w:lang w:val="en-US" w:eastAsia="zh-CN"/>
        </w:rPr>
        <w:t>4</w:t>
      </w:r>
      <w:r>
        <w:rPr>
          <w:rFonts w:hint="default" w:ascii="Times New Roman" w:hAnsi="Times New Roman" w:eastAsia="方正仿宋_GBK" w:cs="Times New Roman"/>
          <w:b w:val="0"/>
          <w:bCs w:val="0"/>
          <w:color w:val="auto"/>
          <w:sz w:val="32"/>
          <w:szCs w:val="32"/>
          <w:shd w:val="clear" w:color="auto" w:fill="FFFFFF"/>
        </w:rPr>
        <w:t>年度本单位</w:t>
      </w:r>
      <w:r>
        <w:rPr>
          <w:rFonts w:hint="default" w:ascii="Times New Roman" w:hAnsi="Times New Roman" w:eastAsia="方正仿宋_GBK" w:cs="Times New Roman"/>
          <w:b w:val="0"/>
          <w:bCs w:val="0"/>
          <w:color w:val="auto"/>
          <w:sz w:val="32"/>
          <w:szCs w:val="32"/>
          <w:shd w:val="clear" w:color="auto" w:fill="FFFFFF"/>
          <w:lang w:eastAsia="zh-CN"/>
        </w:rPr>
        <w:t>无公务车运行维护费，</w:t>
      </w:r>
      <w:r>
        <w:rPr>
          <w:rFonts w:hint="default" w:ascii="Times New Roman" w:hAnsi="Times New Roman" w:eastAsia="方正仿宋_GBK" w:cs="Times New Roman"/>
          <w:b w:val="0"/>
          <w:bCs w:val="0"/>
          <w:color w:val="auto"/>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rPr>
        <w:t>202</w:t>
      </w:r>
      <w:r>
        <w:rPr>
          <w:rFonts w:hint="default" w:ascii="Times New Roman" w:hAnsi="Times New Roman" w:eastAsia="方正仿宋_GBK" w:cs="Times New Roman"/>
          <w:b w:val="0"/>
          <w:bCs w:val="0"/>
          <w:color w:val="auto"/>
          <w:sz w:val="32"/>
          <w:szCs w:val="32"/>
          <w:shd w:val="clear" w:color="auto" w:fill="FFFFFF"/>
          <w:lang w:val="en-US" w:eastAsia="zh-CN"/>
        </w:rPr>
        <w:t>4</w:t>
      </w:r>
      <w:r>
        <w:rPr>
          <w:rFonts w:hint="default" w:ascii="Times New Roman" w:hAnsi="Times New Roman" w:eastAsia="方正仿宋_GBK" w:cs="Times New Roman"/>
          <w:b w:val="0"/>
          <w:bCs w:val="0"/>
          <w:color w:val="auto"/>
          <w:sz w:val="32"/>
          <w:szCs w:val="32"/>
          <w:shd w:val="clear" w:color="auto" w:fill="FFFFFF"/>
        </w:rPr>
        <w:t>年度本单位</w:t>
      </w:r>
      <w:r>
        <w:rPr>
          <w:rFonts w:hint="default" w:ascii="Times New Roman" w:hAnsi="Times New Roman" w:eastAsia="方正仿宋_GBK" w:cs="Times New Roman"/>
          <w:b w:val="0"/>
          <w:bCs w:val="0"/>
          <w:color w:val="auto"/>
          <w:sz w:val="32"/>
          <w:szCs w:val="32"/>
          <w:shd w:val="clear" w:color="auto" w:fill="FFFFFF"/>
          <w:lang w:eastAsia="zh-CN"/>
        </w:rPr>
        <w:t>无公务接待费，</w:t>
      </w:r>
      <w:r>
        <w:rPr>
          <w:rFonts w:hint="default" w:ascii="Times New Roman" w:hAnsi="Times New Roman" w:eastAsia="方正仿宋_GBK" w:cs="Times New Roman"/>
          <w:b w:val="0"/>
          <w:bCs w:val="0"/>
          <w:color w:val="auto"/>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lang w:val="en-US" w:eastAsia="zh-CN" w:bidi="ar-SA"/>
        </w:rPr>
      </w:pPr>
      <w:r>
        <w:rPr>
          <w:rStyle w:val="10"/>
          <w:rFonts w:hint="default" w:ascii="方正楷体_GBK" w:hAnsi="方正楷体_GBK" w:eastAsia="方正楷体_GBK" w:cs="方正楷体_GBK"/>
          <w:b w:val="0"/>
          <w:bCs w:val="0"/>
          <w:color w:val="auto"/>
          <w:sz w:val="32"/>
          <w:szCs w:val="32"/>
          <w:shd w:val="clear" w:color="auto" w:fill="FFFFFF"/>
          <w:lang w:val="en-US" w:eastAsia="zh-CN" w:bidi="ar-SA"/>
        </w:rPr>
        <w:t>（三）“三公”经费实物量情况</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rPr>
        <w:t>2024年度本</w:t>
      </w:r>
      <w:r>
        <w:rPr>
          <w:rFonts w:hint="default" w:ascii="Times New Roman" w:hAnsi="Times New Roman" w:eastAsia="方正仿宋_GBK" w:cs="Times New Roman"/>
          <w:b w:val="0"/>
          <w:bCs w:val="0"/>
          <w:color w:val="auto"/>
          <w:sz w:val="32"/>
          <w:szCs w:val="32"/>
          <w:shd w:val="clear" w:color="auto" w:fill="FFFFFF"/>
          <w:lang w:eastAsia="zh-CN"/>
        </w:rPr>
        <w:t>单位</w:t>
      </w:r>
      <w:r>
        <w:rPr>
          <w:rFonts w:hint="default" w:ascii="Times New Roman" w:hAnsi="Times New Roman" w:eastAsia="方正仿宋_GBK" w:cs="Times New Roman"/>
          <w:b w:val="0"/>
          <w:bCs w:val="0"/>
          <w:color w:val="auto"/>
          <w:sz w:val="32"/>
          <w:szCs w:val="32"/>
          <w:shd w:val="clear" w:color="auto" w:fill="FFFFFF"/>
        </w:rPr>
        <w:t>因公出国（境）共计0个团组，0人；公务用车购置0辆，公务车保有量为0辆；国内公务接待0批次0人，其中：国内外事接待0批次，0人；国（境）外公务接待0批次，0人。2024年本</w:t>
      </w:r>
      <w:r>
        <w:rPr>
          <w:rFonts w:hint="default" w:ascii="Times New Roman" w:hAnsi="Times New Roman" w:eastAsia="方正仿宋_GBK" w:cs="Times New Roman"/>
          <w:b w:val="0"/>
          <w:bCs w:val="0"/>
          <w:color w:val="auto"/>
          <w:sz w:val="32"/>
          <w:szCs w:val="32"/>
          <w:shd w:val="clear" w:color="auto" w:fill="FFFFFF"/>
          <w:lang w:eastAsia="zh-CN"/>
        </w:rPr>
        <w:t>单位</w:t>
      </w:r>
      <w:r>
        <w:rPr>
          <w:rFonts w:hint="default" w:ascii="Times New Roman" w:hAnsi="Times New Roman" w:eastAsia="方正仿宋_GBK" w:cs="Times New Roman"/>
          <w:b w:val="0"/>
          <w:bCs w:val="0"/>
          <w:color w:val="auto"/>
          <w:sz w:val="32"/>
          <w:szCs w:val="32"/>
          <w:shd w:val="clear" w:color="auto" w:fill="FFFFFF"/>
        </w:rPr>
        <w:t>人均接待费0元，车均购置费0万元，车均维护费0万元。</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default" w:ascii="Times New Roman" w:hAnsi="Times New Roman" w:eastAsia="方正黑体_GBK" w:cs="Times New Roman"/>
          <w:b w:val="0"/>
          <w:bCs w:val="0"/>
          <w:color w:val="auto"/>
          <w:sz w:val="32"/>
          <w:szCs w:val="32"/>
          <w:shd w:val="clear" w:color="auto" w:fill="FFFFFF"/>
        </w:rPr>
      </w:pPr>
      <w:r>
        <w:rPr>
          <w:rStyle w:val="10"/>
          <w:rFonts w:hint="default" w:ascii="Times New Roman" w:hAnsi="Times New Roman" w:eastAsia="方正黑体_GBK" w:cs="Times New Roman"/>
          <w:b w:val="0"/>
          <w:bCs w:val="0"/>
          <w:color w:val="auto"/>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rPr>
      </w:pPr>
      <w:r>
        <w:rPr>
          <w:rStyle w:val="10"/>
          <w:rFonts w:hint="default" w:ascii="方正楷体_GBK" w:hAnsi="方正楷体_GBK" w:eastAsia="方正楷体_GBK" w:cs="方正楷体_GBK"/>
          <w:b w:val="0"/>
          <w:bCs w:val="0"/>
          <w:color w:val="auto"/>
          <w:sz w:val="32"/>
          <w:szCs w:val="32"/>
          <w:shd w:val="clear" w:color="auto" w:fill="FFFFFF"/>
        </w:rPr>
        <w:t>（一）财政拨款会议费、培训费和差旅费情况说明</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因</w:t>
      </w:r>
      <w:r>
        <w:rPr>
          <w:rFonts w:hint="default" w:ascii="Times New Roman" w:hAnsi="Times New Roman" w:eastAsia="方正仿宋_GBK" w:cs="Times New Roman"/>
          <w:b w:val="0"/>
          <w:bCs w:val="0"/>
          <w:color w:val="auto"/>
          <w:sz w:val="32"/>
          <w:szCs w:val="32"/>
          <w:lang w:val="en-US" w:eastAsia="zh-CN"/>
        </w:rPr>
        <w:t>本单位</w:t>
      </w:r>
      <w:r>
        <w:rPr>
          <w:rFonts w:hint="default" w:ascii="Times New Roman" w:hAnsi="Times New Roman" w:eastAsia="方正仿宋_GBK" w:cs="Times New Roman"/>
          <w:b w:val="0"/>
          <w:bCs w:val="0"/>
          <w:color w:val="auto"/>
          <w:sz w:val="32"/>
          <w:szCs w:val="32"/>
        </w:rPr>
        <w:t>为差额拨款单位原因，</w:t>
      </w:r>
      <w:r>
        <w:rPr>
          <w:rFonts w:hint="default" w:ascii="Times New Roman" w:hAnsi="Times New Roman" w:eastAsia="方正仿宋_GBK" w:cs="Times New Roman"/>
          <w:b w:val="0"/>
          <w:bCs w:val="0"/>
          <w:color w:val="auto"/>
          <w:sz w:val="32"/>
          <w:szCs w:val="32"/>
          <w:lang w:eastAsia="zh-CN"/>
        </w:rPr>
        <w:t>未使用财政资金保障</w:t>
      </w:r>
      <w:r>
        <w:rPr>
          <w:rFonts w:hint="default" w:ascii="Times New Roman" w:hAnsi="Times New Roman" w:eastAsia="方正仿宋_GBK" w:cs="Times New Roman"/>
          <w:b w:val="0"/>
          <w:bCs w:val="0"/>
          <w:color w:val="auto"/>
          <w:sz w:val="32"/>
          <w:szCs w:val="32"/>
        </w:rPr>
        <w:t>会议费、培训费和差旅费。</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lang w:val="en-US" w:eastAsia="zh-CN" w:bidi="ar-SA"/>
        </w:rPr>
      </w:pPr>
      <w:r>
        <w:rPr>
          <w:rStyle w:val="10"/>
          <w:rFonts w:hint="default" w:ascii="方正楷体_GBK" w:hAnsi="方正楷体_GBK" w:eastAsia="方正楷体_GBK" w:cs="方正楷体_GBK"/>
          <w:b w:val="0"/>
          <w:bCs w:val="0"/>
          <w:color w:val="auto"/>
          <w:sz w:val="32"/>
          <w:szCs w:val="32"/>
          <w:shd w:val="clear" w:color="auto" w:fill="FFFFFF"/>
          <w:lang w:val="en-US" w:eastAsia="zh-CN" w:bidi="ar-SA"/>
        </w:rPr>
        <w:t>（二）机关运行经费情况说明</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yellow"/>
        </w:rPr>
      </w:pPr>
      <w:r>
        <w:rPr>
          <w:rFonts w:hint="default" w:ascii="Times New Roman" w:hAnsi="Times New Roman" w:eastAsia="方正仿宋_GBK" w:cs="Times New Roman"/>
          <w:b w:val="0"/>
          <w:bCs w:val="0"/>
          <w:color w:val="auto"/>
          <w:sz w:val="32"/>
          <w:szCs w:val="32"/>
        </w:rPr>
        <w:t>按照部门决算列报口径</w:t>
      </w:r>
      <w:r>
        <w:rPr>
          <w:rFonts w:hint="default" w:ascii="Times New Roman" w:hAnsi="Times New Roman" w:eastAsia="方正仿宋_GBK" w:cs="Times New Roman"/>
          <w:b w:val="0"/>
          <w:bCs w:val="0"/>
          <w:color w:val="auto"/>
          <w:sz w:val="32"/>
          <w:szCs w:val="32"/>
          <w:highlight w:val="none"/>
        </w:rPr>
        <w:t>，</w:t>
      </w:r>
      <w:r>
        <w:rPr>
          <w:rFonts w:hint="eastAsia" w:ascii="Times New Roman" w:hAnsi="Times New Roman" w:eastAsia="方正仿宋_GBK" w:cs="Times New Roman"/>
          <w:b w:val="0"/>
          <w:bCs w:val="0"/>
          <w:color w:val="auto"/>
          <w:sz w:val="32"/>
          <w:szCs w:val="32"/>
          <w:highlight w:val="none"/>
          <w:lang w:eastAsia="zh-CN"/>
        </w:rPr>
        <w:t>本</w:t>
      </w:r>
      <w:r>
        <w:rPr>
          <w:rFonts w:hint="default" w:ascii="Times New Roman" w:hAnsi="Times New Roman" w:eastAsia="方正仿宋_GBK" w:cs="Times New Roman"/>
          <w:b w:val="0"/>
          <w:bCs w:val="0"/>
          <w:color w:val="auto"/>
          <w:sz w:val="32"/>
          <w:szCs w:val="32"/>
          <w:highlight w:val="none"/>
          <w:lang w:eastAsia="zh-CN"/>
        </w:rPr>
        <w:t>单位</w:t>
      </w:r>
      <w:r>
        <w:rPr>
          <w:rFonts w:hint="default" w:ascii="Times New Roman" w:hAnsi="Times New Roman" w:eastAsia="方正仿宋_GBK" w:cs="Times New Roman"/>
          <w:b w:val="0"/>
          <w:bCs w:val="0"/>
          <w:color w:val="auto"/>
          <w:sz w:val="32"/>
          <w:szCs w:val="32"/>
          <w:highlight w:val="none"/>
        </w:rPr>
        <w:t>不在机关运行经费统计范围之内。</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lang w:val="en-US" w:eastAsia="zh-CN" w:bidi="ar-SA"/>
        </w:rPr>
      </w:pPr>
      <w:r>
        <w:rPr>
          <w:rStyle w:val="10"/>
          <w:rFonts w:hint="default" w:ascii="方正楷体_GBK" w:hAnsi="方正楷体_GBK" w:eastAsia="方正楷体_GBK" w:cs="方正楷体_GBK"/>
          <w:b w:val="0"/>
          <w:bCs w:val="0"/>
          <w:color w:val="auto"/>
          <w:sz w:val="32"/>
          <w:szCs w:val="32"/>
          <w:shd w:val="clear" w:color="auto" w:fill="FFFFFF"/>
          <w:lang w:val="en-US" w:eastAsia="zh-CN" w:bidi="ar-SA"/>
        </w:rPr>
        <w:t>（三）国有资产占用情况说明</w:t>
      </w:r>
    </w:p>
    <w:p>
      <w:pPr>
        <w:pStyle w:val="8"/>
        <w:keepNext w:val="0"/>
        <w:keepLines w:val="0"/>
        <w:pageBreakBefore w:val="0"/>
        <w:widowControl/>
        <w:kinsoku/>
        <w:wordWrap/>
        <w:overflowPunct/>
        <w:topLinePunct w:val="0"/>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rPr>
        <w:t>截至2024年12月31日，本</w:t>
      </w:r>
      <w:r>
        <w:rPr>
          <w:rFonts w:hint="default" w:ascii="Times New Roman" w:hAnsi="Times New Roman" w:eastAsia="方正仿宋_GBK" w:cs="Times New Roman"/>
          <w:b w:val="0"/>
          <w:bCs w:val="0"/>
          <w:color w:val="auto"/>
          <w:sz w:val="32"/>
          <w:szCs w:val="32"/>
          <w:shd w:val="clear" w:color="auto" w:fill="FFFFFF"/>
          <w:lang w:eastAsia="zh-CN"/>
        </w:rPr>
        <w:t>单位</w:t>
      </w:r>
      <w:r>
        <w:rPr>
          <w:rFonts w:hint="default" w:ascii="Times New Roman" w:hAnsi="Times New Roman" w:eastAsia="方正仿宋_GBK" w:cs="Times New Roman"/>
          <w:b w:val="0"/>
          <w:bCs w:val="0"/>
          <w:color w:val="auto"/>
          <w:sz w:val="32"/>
          <w:szCs w:val="32"/>
          <w:shd w:val="clear" w:color="auto" w:fill="FFFFFF"/>
        </w:rPr>
        <w:t>共有车辆4辆，其中，副部（省）级及以上领导用车0辆、主要负责人用车0辆、机要通信用车0辆、应急保障用车0辆、执法执勤用车0辆，特种专业技术用车4辆，离退休干部用车0辆。单价100万元（含）以上专用设备0台（套）。</w:t>
      </w:r>
    </w:p>
    <w:p>
      <w:pPr>
        <w:pStyle w:val="13"/>
        <w:keepNext w:val="0"/>
        <w:keepLines w:val="0"/>
        <w:pageBreakBefore w:val="0"/>
        <w:widowControl/>
        <w:kinsoku/>
        <w:wordWrap/>
        <w:overflowPunct/>
        <w:topLinePunct w:val="0"/>
        <w:autoSpaceDE w:val="0"/>
        <w:autoSpaceDN/>
        <w:bidi w:val="0"/>
        <w:adjustRightInd w:val="0"/>
        <w:snapToGrid w:val="0"/>
        <w:spacing w:line="560" w:lineRule="exact"/>
        <w:ind w:firstLine="640" w:firstLineChars="200"/>
        <w:jc w:val="both"/>
        <w:textAlignment w:val="auto"/>
        <w:rPr>
          <w:rStyle w:val="10"/>
          <w:rFonts w:hint="default" w:ascii="方正楷体_GBK" w:hAnsi="方正楷体_GBK" w:eastAsia="方正楷体_GBK" w:cs="方正楷体_GBK"/>
          <w:b w:val="0"/>
          <w:bCs w:val="0"/>
          <w:color w:val="auto"/>
          <w:sz w:val="32"/>
          <w:szCs w:val="32"/>
          <w:shd w:val="clear" w:color="auto" w:fill="FFFFFF"/>
          <w:lang w:val="en-US" w:eastAsia="zh-CN" w:bidi="ar-SA"/>
        </w:rPr>
      </w:pPr>
      <w:r>
        <w:rPr>
          <w:rStyle w:val="10"/>
          <w:rFonts w:hint="default" w:ascii="方正楷体_GBK" w:hAnsi="方正楷体_GBK" w:eastAsia="方正楷体_GBK" w:cs="方正楷体_GBK"/>
          <w:b w:val="0"/>
          <w:bCs w:val="0"/>
          <w:color w:val="auto"/>
          <w:sz w:val="32"/>
          <w:szCs w:val="32"/>
          <w:shd w:val="clear" w:color="auto" w:fill="FFFFFF"/>
          <w:lang w:val="en-US" w:eastAsia="zh-CN" w:bidi="ar-SA"/>
        </w:rPr>
        <w:t>（四）政府采购支出情况说明</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sz w:val="32"/>
          <w:szCs w:val="32"/>
          <w:shd w:val="clear" w:color="auto" w:fill="FFFFFF"/>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b w:val="0"/>
          <w:bCs w:val="0"/>
          <w:color w:val="auto"/>
          <w:sz w:val="32"/>
          <w:szCs w:val="32"/>
          <w:shd w:val="clear" w:color="auto" w:fill="FFFFFF"/>
          <w:lang w:eastAsia="zh-CN"/>
        </w:rPr>
        <w:t>2024年度我单位未发生政府采购事项，无相关经费支出。</w:t>
      </w:r>
    </w:p>
    <w:p>
      <w:pPr>
        <w:pStyle w:val="8"/>
        <w:keepNext w:val="0"/>
        <w:keepLines w:val="0"/>
        <w:pageBreakBefore w:val="0"/>
        <w:widowControl/>
        <w:numPr>
          <w:ilvl w:val="0"/>
          <w:numId w:val="1"/>
        </w:numPr>
        <w:shd w:val="clear" w:color="auto" w:fill="FFFFFF"/>
        <w:kinsoku/>
        <w:wordWrap/>
        <w:overflowPunct/>
        <w:topLinePunct w:val="0"/>
        <w:autoSpaceDN/>
        <w:bidi w:val="0"/>
        <w:adjustRightInd/>
        <w:spacing w:beforeAutospacing="0" w:after="0" w:afterAutospacing="0" w:line="560" w:lineRule="exact"/>
        <w:ind w:right="0" w:firstLine="640" w:firstLineChars="200"/>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tbl>
      <w:tblPr>
        <w:tblStyle w:val="11"/>
        <w:tblpPr w:leftFromText="180" w:rightFromText="180" w:vertAnchor="text" w:horzAnchor="page" w:tblpX="1783" w:tblpY="194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lang w:eastAsia="zh-CN"/>
        </w:rPr>
      </w:pPr>
    </w:p>
    <w:p>
      <w:pPr>
        <w:pStyle w:val="13"/>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bookmarkStart w:id="0" w:name="_GoBack"/>
      <w:bookmarkEnd w:id="0"/>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ind w:firstLine="640" w:firstLineChars="200"/>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96" w:lineRule="exact"/>
        <w:ind w:firstLine="640" w:firstLineChars="200"/>
        <w:textAlignment w:val="auto"/>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lang w:eastAsia="zh-CN"/>
        </w:rPr>
        <w:t>六</w:t>
      </w:r>
      <w:r>
        <w:rPr>
          <w:rStyle w:val="10"/>
          <w:rFonts w:hint="eastAsia" w:ascii="方正黑体_GBK" w:hAnsi="方正黑体_GBK" w:eastAsia="方正黑体_GBK" w:cs="方正黑体_GBK"/>
          <w:b w:val="0"/>
          <w:bCs/>
          <w:sz w:val="32"/>
          <w:szCs w:val="32"/>
          <w:shd w:val="clear" w:color="auto" w:fill="FFFFFF"/>
        </w:rPr>
        <w:t>、专业名词解释</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指本年度从本级财政部门取得的财政拨款。</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（二）事业收入：</w:t>
      </w:r>
      <w:r>
        <w:rPr>
          <w:rFonts w:ascii="方正仿宋_GBK" w:hAnsi="方正仿宋_GBK" w:eastAsia="方正仿宋_GBK" w:cs="方正仿宋_GBK"/>
          <w:b w:val="0"/>
          <w:bCs w:val="0"/>
          <w:sz w:val="32"/>
          <w:szCs w:val="32"/>
          <w:shd w:val="clear" w:color="auto" w:fill="FFFFFF"/>
        </w:rPr>
        <w:t>指事业单位开展专业业务活动及其辅助活动取得的</w:t>
      </w:r>
      <w:r>
        <w:rPr>
          <w:rFonts w:hint="eastAsia" w:ascii="方正仿宋_GBK" w:hAnsi="方正仿宋_GBK" w:eastAsia="方正仿宋_GBK" w:cs="方正仿宋_GBK"/>
          <w:b w:val="0"/>
          <w:bCs w:val="0"/>
          <w:sz w:val="32"/>
          <w:szCs w:val="32"/>
          <w:shd w:val="clear" w:color="auto" w:fill="FFFFFF"/>
          <w:lang w:eastAsia="zh-CN"/>
        </w:rPr>
        <w:t>收入</w:t>
      </w:r>
      <w:r>
        <w:rPr>
          <w:rFonts w:ascii="方正仿宋_GBK" w:hAnsi="方正仿宋_GBK" w:eastAsia="方正仿宋_GBK" w:cs="方正仿宋_GBK"/>
          <w:b w:val="0"/>
          <w:bCs w:val="0"/>
          <w:sz w:val="32"/>
          <w:szCs w:val="32"/>
          <w:shd w:val="clear" w:color="auto" w:fill="FFFFFF"/>
        </w:rPr>
        <w:t>。</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（三）经营收入：</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w:t>
      </w:r>
      <w:r>
        <w:rPr>
          <w:rFonts w:hint="eastAsia" w:ascii="方正仿宋_GBK" w:hAnsi="方正仿宋_GBK" w:eastAsia="方正仿宋_GBK" w:cs="方正仿宋_GBK"/>
          <w:b w:val="0"/>
          <w:bCs w:val="0"/>
          <w:sz w:val="32"/>
          <w:szCs w:val="32"/>
          <w:shd w:val="clear" w:color="auto" w:fill="FFFFFF"/>
          <w:lang w:eastAsia="zh-CN"/>
        </w:rPr>
        <w:t>收入</w:t>
      </w:r>
      <w:r>
        <w:rPr>
          <w:rFonts w:ascii="方正仿宋_GBK" w:hAnsi="方正仿宋_GBK" w:eastAsia="方正仿宋_GBK" w:cs="方正仿宋_GBK"/>
          <w:b w:val="0"/>
          <w:bCs w:val="0"/>
          <w:sz w:val="32"/>
          <w:szCs w:val="32"/>
          <w:shd w:val="clear" w:color="auto" w:fill="FFFFFF"/>
        </w:rPr>
        <w:t>。</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Style w:val="10"/>
          <w:rFonts w:ascii="楷体" w:hAnsi="楷体" w:eastAsia="楷体" w:cs="楷体"/>
          <w:b w:val="0"/>
          <w:bCs w:val="0"/>
          <w:sz w:val="32"/>
          <w:szCs w:val="32"/>
          <w:shd w:val="clear" w:color="auto" w:fill="FFFFFF"/>
        </w:rPr>
        <w:t>（</w:t>
      </w:r>
      <w:r>
        <w:rPr>
          <w:rFonts w:hint="eastAsia" w:ascii="方正楷体_GBK" w:hAnsi="方正楷体_GBK" w:eastAsia="方正楷体_GBK" w:cs="方正楷体_GBK"/>
          <w:b w:val="0"/>
          <w:bCs w:val="0"/>
          <w:sz w:val="32"/>
          <w:szCs w:val="32"/>
          <w:shd w:val="clear" w:color="auto" w:fill="FFFFFF"/>
        </w:rPr>
        <w:t>四）其他收入：</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jc w:val="both"/>
        <w:textAlignment w:val="auto"/>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（五）使用非财政拨款结余</w:t>
      </w:r>
      <w:r>
        <w:rPr>
          <w:rFonts w:hint="eastAsia" w:ascii="方正楷体_GBK" w:hAnsi="方正楷体_GBK" w:eastAsia="方正楷体_GBK" w:cs="方正楷体_GBK"/>
          <w:b w:val="0"/>
          <w:bCs w:val="0"/>
          <w:sz w:val="32"/>
          <w:szCs w:val="32"/>
          <w:shd w:val="clear" w:color="auto" w:fill="FFFFFF"/>
          <w:lang w:eastAsia="zh-CN"/>
        </w:rPr>
        <w:t>（含专用结余）</w:t>
      </w:r>
      <w:r>
        <w:rPr>
          <w:rFonts w:hint="eastAsia" w:ascii="方正楷体_GBK" w:hAnsi="方正楷体_GBK" w:eastAsia="方正楷体_GBK" w:cs="方正楷体_GBK"/>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w:t>
      </w:r>
      <w:r>
        <w:rPr>
          <w:rFonts w:hint="eastAsia" w:ascii="方正仿宋_GBK" w:hAnsi="方正仿宋_GBK" w:eastAsia="方正仿宋_GBK" w:cs="方正仿宋_GBK"/>
          <w:b w:val="0"/>
          <w:bCs w:val="0"/>
          <w:sz w:val="32"/>
          <w:szCs w:val="32"/>
          <w:shd w:val="clear" w:color="auto" w:fill="FFFFFF"/>
          <w:lang w:eastAsia="zh-CN"/>
        </w:rPr>
        <w:t>事业单位按照预算管理要求使用非财政拨款结余弥补收支差额的金额，以及使用专用结余安排支出的金额。</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（六）年初结转和结余：</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（七）结余分配：</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（八）年末结转和结余：</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（九）基本支出：</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（十）项目支出：</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（十一）经营支出：</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（十二）“三公”经费：</w:t>
      </w:r>
      <w:r>
        <w:rPr>
          <w:rFonts w:ascii="方正仿宋_GBK" w:hAnsi="方正仿宋_GBK" w:eastAsia="方正仿宋_GBK" w:cs="方正仿宋_GBK"/>
          <w:b w:val="0"/>
          <w:bCs w:val="0"/>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（十三）机关运行经费：</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方正仿宋_GBK" w:hAnsi="方正仿宋_GBK" w:eastAsia="方正仿宋_GBK" w:cs="方正仿宋_GBK"/>
          <w:b w:val="0"/>
          <w:bCs w:val="0"/>
          <w:sz w:val="32"/>
          <w:szCs w:val="32"/>
          <w:shd w:val="clear" w:color="auto" w:fill="FFFFFF"/>
        </w:rPr>
        <w:t>反映用于对个人和家庭的补助支出。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lang w:eastAsia="zh-CN"/>
        </w:rPr>
        <w:t>七</w:t>
      </w:r>
      <w:r>
        <w:rPr>
          <w:rStyle w:val="10"/>
          <w:rFonts w:hint="eastAsia" w:ascii="方正黑体_GBK" w:hAnsi="方正黑体_GBK" w:eastAsia="方正黑体_GBK" w:cs="方正黑体_GBK"/>
          <w:b w:val="0"/>
          <w:bCs w:val="0"/>
          <w:sz w:val="32"/>
          <w:szCs w:val="32"/>
          <w:shd w:val="clear" w:color="auto" w:fill="FFFFFF"/>
        </w:rPr>
        <w:t>、决算公开联系方式及信息反馈渠道</w:t>
      </w:r>
    </w:p>
    <w:p>
      <w:pPr>
        <w:pStyle w:val="13"/>
        <w:keepNext w:val="0"/>
        <w:keepLines w:val="0"/>
        <w:pageBreakBefore w:val="0"/>
        <w:widowControl/>
        <w:kinsoku/>
        <w:wordWrap/>
        <w:overflowPunct/>
        <w:topLinePunct w:val="0"/>
        <w:autoSpaceDE w:val="0"/>
        <w:autoSpaceDN/>
        <w:bidi w:val="0"/>
        <w:adjustRightInd/>
        <w:spacing w:beforeAutospacing="0" w:afterAutospacing="0" w:line="596" w:lineRule="exact"/>
        <w:ind w:firstLine="64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决算公开信息反馈和联系方式：</w:t>
      </w:r>
    </w:p>
    <w:p>
      <w:pPr>
        <w:pStyle w:val="13"/>
        <w:keepNext w:val="0"/>
        <w:keepLines w:val="0"/>
        <w:pageBreakBefore w:val="0"/>
        <w:widowControl/>
        <w:kinsoku/>
        <w:wordWrap/>
        <w:overflowPunct/>
        <w:topLinePunct w:val="0"/>
        <w:autoSpaceDE w:val="0"/>
        <w:autoSpaceDN/>
        <w:bidi w:val="0"/>
        <w:adjustRightInd/>
        <w:spacing w:beforeAutospacing="0" w:afterAutospacing="0" w:line="596" w:lineRule="exact"/>
        <w:ind w:firstLine="640"/>
        <w:jc w:val="both"/>
        <w:textAlignment w:val="auto"/>
        <w:rPr>
          <w:rStyle w:val="10"/>
          <w:rFonts w:hint="default" w:ascii="方正仿宋_GBK" w:hAnsi="方正仿宋_GBK" w:eastAsia="方正仿宋_GBK" w:cs="方正仿宋_GBK"/>
          <w:sz w:val="32"/>
          <w:szCs w:val="32"/>
          <w:shd w:val="clear" w:color="auto" w:fill="FFFF00"/>
          <w:lang w:val="en-US" w:eastAsia="zh-CN"/>
        </w:rPr>
        <w:sectPr>
          <w:footerReference r:id="rId4"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Times New Roman"/>
          <w:color w:val="auto"/>
          <w:sz w:val="32"/>
          <w:szCs w:val="32"/>
          <w:shd w:val="clear" w:color="auto" w:fill="FFFFFF"/>
          <w:lang w:val="en-US" w:eastAsia="zh-CN"/>
        </w:rPr>
        <w:t xml:space="preserve">卢力  </w:t>
      </w:r>
      <w:r>
        <w:rPr>
          <w:rFonts w:hint="default" w:ascii="Times New Roman" w:hAnsi="Times New Roman" w:eastAsia="方正仿宋_GBK" w:cs="Times New Roman"/>
          <w:color w:val="auto"/>
          <w:sz w:val="32"/>
          <w:szCs w:val="32"/>
          <w:shd w:val="clear" w:color="auto" w:fill="FFFFFF"/>
          <w:lang w:val="en-US" w:eastAsia="zh-CN"/>
        </w:rPr>
        <w:t>023-76633017</w:t>
      </w: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秀山土家族苗族自治县官庄街道社区卫生服务中心</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1,694.64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722.54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40.36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111.76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1,934.32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28.41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3,517.44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4,074.19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556.75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4,074.19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4,074.19</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秀山土家族苗族自治县官庄街道社区卫生服务中心</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3,517.44</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2,754.54</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722.54</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40.36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28.38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28.38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55.32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55.32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28.06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28.06</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1,377.57</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614.67</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722.54</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40.36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1,284.76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521.86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722.54</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40.36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1,153.56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390.66</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722.54</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40.36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131.20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131.20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62.33</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62.33</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62.33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62.33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30.48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30.48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23.57</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23.57</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6.91</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6.91</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城乡社区支出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国有土地使用权出让收入安排的支出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2120802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土地开发支出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28.41</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28.41</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2299999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秀山土家族苗族自治县官庄街道社区卫生服务中心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4,074.19</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1,426.39</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2,647.80</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28.38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28.38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55.32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55.32</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28.06</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28.06</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1,934.32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1,286.23</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648.10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1,841.51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1,193.41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648.10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1,201.57</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1,193.41</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8.16</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508.74</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508.74</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131.20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131.20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62.33</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62.33</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62.33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62.33</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30.48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30.48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23.57</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23.57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6.91</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6.91</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城乡社区支出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国有土地使用权出让收入安排的支出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2120802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土地开发支出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28.41</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28.41</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2299999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秀山土家族苗族自治县官庄街道社区卫生服务中心</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1,694.64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1,059.90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111.76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111.76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1,171.43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1,171.43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1,059.90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1,059.90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28.41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28.41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939.80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939.80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2,754.54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3,311.29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2,251.39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1,059.90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556.75</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556.75</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3,311.29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3,311.29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2,251.39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1,059.90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秀山土家族苗族自治县官庄街道社区卫生服务中心</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2,251.39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663.49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1,587.90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111.76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28.38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28.38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55.32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55.32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28.06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28.06</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1,171.43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523.33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648.10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1,078.61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430.52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648.10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438.68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430.52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8.16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508.74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508.74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131.20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131.20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62.33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62.33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62.33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62.33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30.48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30.48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23.57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23.57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6.91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6.91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28.41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28.41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28.41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2299999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秀山土家族苗族自治县官庄街道社区卫生服务中心</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620.22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212.78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19.38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245.09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55.32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28.06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30.48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0.71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28.41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30.81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22.81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8.00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651.03</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12.46</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秀山土家族苗族自治县官庄街道社区卫生服务中心</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1,059.90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1,059.90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1,059.90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212</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城乡社区支出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21208</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国有土地使用权出让收入安排的支出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2120802</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土地开发支出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备注：1.本表反映单位本年度政府性基金预算财政拨款收入支出及结转和结余情况。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秀山土家族苗族自治县官庄街道社区卫生服务中心</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秀山土家族苗族自治县官庄街道社区卫生服务中心</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4</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4</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5" w:type="default"/>
      <w:footerReference r:id="rId6"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2C76C16"/>
    <w:rsid w:val="036E2DA9"/>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B949B3"/>
    <w:rsid w:val="13CE1647"/>
    <w:rsid w:val="13FD55AB"/>
    <w:rsid w:val="14200702"/>
    <w:rsid w:val="14370EA1"/>
    <w:rsid w:val="145D6F41"/>
    <w:rsid w:val="163A6CEE"/>
    <w:rsid w:val="173708E3"/>
    <w:rsid w:val="17C374FC"/>
    <w:rsid w:val="182E4AB6"/>
    <w:rsid w:val="189079DC"/>
    <w:rsid w:val="189B0D0B"/>
    <w:rsid w:val="18B43F7C"/>
    <w:rsid w:val="18C0661A"/>
    <w:rsid w:val="191C433B"/>
    <w:rsid w:val="194A1770"/>
    <w:rsid w:val="19B906A4"/>
    <w:rsid w:val="19CD2591"/>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0A039B9"/>
    <w:rsid w:val="21556F04"/>
    <w:rsid w:val="22403BD3"/>
    <w:rsid w:val="235417B6"/>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CA4B37"/>
    <w:rsid w:val="2FE029D7"/>
    <w:rsid w:val="2FF06E00"/>
    <w:rsid w:val="30586FEC"/>
    <w:rsid w:val="308E6536"/>
    <w:rsid w:val="315F0B22"/>
    <w:rsid w:val="31D84415"/>
    <w:rsid w:val="32285F6F"/>
    <w:rsid w:val="32324B64"/>
    <w:rsid w:val="32770556"/>
    <w:rsid w:val="329C0913"/>
    <w:rsid w:val="32AA0460"/>
    <w:rsid w:val="3337290D"/>
    <w:rsid w:val="33E31118"/>
    <w:rsid w:val="33EF7674"/>
    <w:rsid w:val="342D7BC6"/>
    <w:rsid w:val="352930DB"/>
    <w:rsid w:val="354477D3"/>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BF838D3"/>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D1105C"/>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D1F53CA"/>
    <w:rsid w:val="4D966FB8"/>
    <w:rsid w:val="4DAC4ACA"/>
    <w:rsid w:val="4DBE01D2"/>
    <w:rsid w:val="4F0C6BA3"/>
    <w:rsid w:val="4F186D58"/>
    <w:rsid w:val="50F06B6E"/>
    <w:rsid w:val="518E6E60"/>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168B3"/>
    <w:rsid w:val="56530F5D"/>
    <w:rsid w:val="567700D3"/>
    <w:rsid w:val="569A743A"/>
    <w:rsid w:val="569E5A73"/>
    <w:rsid w:val="56FF7E9E"/>
    <w:rsid w:val="578867FC"/>
    <w:rsid w:val="5842572D"/>
    <w:rsid w:val="5A3B59D6"/>
    <w:rsid w:val="5AD134D8"/>
    <w:rsid w:val="5BF41F67"/>
    <w:rsid w:val="5C263CE4"/>
    <w:rsid w:val="5C5D2777"/>
    <w:rsid w:val="5CF66BF3"/>
    <w:rsid w:val="5D290C69"/>
    <w:rsid w:val="5DA80C2C"/>
    <w:rsid w:val="5F2D4A41"/>
    <w:rsid w:val="60C74F6C"/>
    <w:rsid w:val="61015958"/>
    <w:rsid w:val="61025A59"/>
    <w:rsid w:val="613D5BBC"/>
    <w:rsid w:val="61536C39"/>
    <w:rsid w:val="61894431"/>
    <w:rsid w:val="62944DD7"/>
    <w:rsid w:val="6319381F"/>
    <w:rsid w:val="63C25DC5"/>
    <w:rsid w:val="63C62057"/>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FD1324"/>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6EA21F7"/>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2</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2025-10-14T08:29:23Z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