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96"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秀山土家族苗族自治县红十字会</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96" w:lineRule="exact"/>
        <w:jc w:val="center"/>
        <w:textAlignment w:val="auto"/>
        <w:rPr>
          <w:rFonts w:hint="eastAsia" w:ascii="方正小标宋_GBK" w:hAnsi="方正小标宋_GBK" w:eastAsia="方正小标宋_GBK" w:cs="方正小标宋_GBK"/>
          <w:sz w:val="44"/>
          <w:szCs w:val="44"/>
          <w:shd w:val="clear" w:color="auto" w:fill="FFFFFF"/>
        </w:rPr>
      </w:pPr>
      <w:r>
        <w:rPr>
          <w:rFonts w:hint="eastAsia" w:ascii="方正小标宋_GBK" w:hAnsi="方正小标宋_GBK" w:eastAsia="方正小标宋_GBK" w:cs="方正小标宋_GBK"/>
          <w:sz w:val="44"/>
          <w:szCs w:val="44"/>
          <w:shd w:val="clear" w:color="auto" w:fill="FFFFFF"/>
        </w:rPr>
        <w:t>202</w:t>
      </w:r>
      <w:r>
        <w:rPr>
          <w:rFonts w:hint="eastAsia" w:ascii="方正小标宋_GBK" w:hAnsi="方正小标宋_GBK" w:eastAsia="方正小标宋_GBK" w:cs="方正小标宋_GBK"/>
          <w:sz w:val="44"/>
          <w:szCs w:val="44"/>
          <w:shd w:val="clear" w:color="auto" w:fill="FFFFFF"/>
          <w:lang w:val="en-US" w:eastAsia="zh-CN"/>
        </w:rPr>
        <w:t>4</w:t>
      </w:r>
      <w:r>
        <w:rPr>
          <w:rFonts w:hint="eastAsia" w:ascii="方正小标宋_GBK" w:hAnsi="方正小标宋_GBK" w:eastAsia="方正小标宋_GBK" w:cs="方正小标宋_GBK"/>
          <w:sz w:val="44"/>
          <w:szCs w:val="44"/>
          <w:shd w:val="clear" w:color="auto" w:fill="FFFFFF"/>
        </w:rPr>
        <w:t>年度决算</w:t>
      </w:r>
      <w:r>
        <w:rPr>
          <w:rFonts w:hint="eastAsia" w:ascii="方正小标宋_GBK" w:hAnsi="方正小标宋_GBK" w:eastAsia="方正小标宋_GBK" w:cs="方正小标宋_GBK"/>
          <w:sz w:val="44"/>
          <w:szCs w:val="44"/>
          <w:shd w:val="clear" w:color="auto" w:fill="FFFFFF"/>
          <w:lang w:eastAsia="zh-CN"/>
        </w:rPr>
        <w:t>公开</w:t>
      </w:r>
      <w:bookmarkStart w:id="0" w:name="_GoBack"/>
      <w:bookmarkEnd w:id="0"/>
      <w:r>
        <w:rPr>
          <w:rFonts w:hint="eastAsia" w:ascii="方正小标宋_GBK" w:hAnsi="方正小标宋_GBK" w:eastAsia="方正小标宋_GBK" w:cs="方正小标宋_GBK"/>
          <w:sz w:val="44"/>
          <w:szCs w:val="44"/>
          <w:shd w:val="clear" w:color="auto" w:fill="FFFFFF"/>
        </w:rPr>
        <w:t>说明</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96" w:lineRule="exact"/>
        <w:jc w:val="center"/>
        <w:textAlignment w:val="auto"/>
        <w:rPr>
          <w:rFonts w:hint="eastAsia" w:ascii="方正小标宋_GBK" w:hAnsi="方正小标宋_GBK" w:eastAsia="方正小标宋_GBK" w:cs="方正小标宋_GBK"/>
          <w:sz w:val="36"/>
          <w:szCs w:val="36"/>
          <w:shd w:val="clear" w:color="auto" w:fill="FFFFFF"/>
        </w:rPr>
      </w:pP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黑体_GBK" w:cs="Times New Roman"/>
          <w:b w:val="0"/>
          <w:bCs w:val="0"/>
          <w:sz w:val="32"/>
          <w:szCs w:val="32"/>
          <w:shd w:val="clear" w:color="auto" w:fill="FFFFFF"/>
        </w:rPr>
      </w:pPr>
      <w:r>
        <w:rPr>
          <w:rStyle w:val="10"/>
          <w:rFonts w:hint="default" w:ascii="Times New Roman" w:hAnsi="Times New Roman" w:eastAsia="方正黑体_GBK" w:cs="Times New Roman"/>
          <w:b w:val="0"/>
          <w:bCs w:val="0"/>
          <w:sz w:val="32"/>
          <w:szCs w:val="32"/>
          <w:shd w:val="clear" w:color="auto" w:fill="FFFFFF"/>
        </w:rPr>
        <w:t>一、单位基本情况</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楷体_GBK" w:cs="Times New Roman"/>
          <w:b w:val="0"/>
          <w:bCs w:val="0"/>
          <w:sz w:val="32"/>
          <w:szCs w:val="32"/>
          <w:shd w:val="clear" w:color="auto" w:fill="FFFFFF"/>
        </w:rPr>
      </w:pPr>
      <w:r>
        <w:rPr>
          <w:rStyle w:val="10"/>
          <w:rFonts w:hint="default" w:ascii="Times New Roman" w:hAnsi="Times New Roman" w:eastAsia="方正楷体_GBK" w:cs="Times New Roman"/>
          <w:b w:val="0"/>
          <w:bCs w:val="0"/>
          <w:sz w:val="32"/>
          <w:szCs w:val="32"/>
          <w:shd w:val="clear" w:color="auto" w:fill="FFFFFF"/>
        </w:rPr>
        <w:t>（一）职能职责</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Autospacing="0" w:line="560" w:lineRule="exact"/>
        <w:ind w:firstLine="640" w:firstLineChars="200"/>
        <w:jc w:val="both"/>
        <w:textAlignment w:val="auto"/>
        <w:outlineLvl w:val="9"/>
        <w:rPr>
          <w:rStyle w:val="10"/>
          <w:rFonts w:hint="default" w:ascii="Times New Roman" w:hAnsi="Times New Roman" w:eastAsia="方正仿宋_GBK" w:cs="Times New Roman"/>
          <w:b w:val="0"/>
          <w:bCs/>
          <w:sz w:val="32"/>
          <w:szCs w:val="32"/>
          <w:shd w:val="clear" w:color="auto" w:fill="FFFFFF"/>
        </w:rPr>
      </w:pPr>
      <w:r>
        <w:rPr>
          <w:rStyle w:val="10"/>
          <w:rFonts w:hint="default" w:ascii="Times New Roman" w:hAnsi="Times New Roman" w:eastAsia="方正仿宋_GBK" w:cs="Times New Roman"/>
          <w:b w:val="0"/>
          <w:bCs/>
          <w:sz w:val="32"/>
          <w:szCs w:val="32"/>
          <w:shd w:val="clear" w:color="auto" w:fill="FFFFFF"/>
        </w:rPr>
        <w:t>开展救援、救灾的相关工作，建立红十字应急救援体系，在突发事件中对伤病人员和其他受害者提供紧急救援和人道救助；开展应急救护培训，普及应急救护、防灾避险和卫生健康知识，组织志愿者参加现场救护；参与、推动无偿献血、遗体和人体器官捐献工作，参与开展造血干细胞的相关工作；组织开展红十字志愿服务、红十字青少年工作；参加国际人道主义救援工作；宣传国际红十字和红新月运动的基本原则和日内瓦公约及其附加议定书；依照国际红十字和红新月运动的基本原则，完成县人民政府委托事宜；依照日内瓦公约及其附加议定书的有关规定开展工作；协助县政府开展与其职责相关的其他人道主义服务活动；指导全县各级红十字会工作开展。</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楷体_GBK" w:cs="Times New Roman"/>
          <w:b w:val="0"/>
          <w:bCs w:val="0"/>
          <w:sz w:val="32"/>
          <w:szCs w:val="32"/>
          <w:shd w:val="clear" w:color="auto" w:fill="FFFFFF"/>
        </w:rPr>
      </w:pPr>
      <w:r>
        <w:rPr>
          <w:rStyle w:val="10"/>
          <w:rFonts w:hint="default" w:ascii="Times New Roman" w:hAnsi="Times New Roman" w:eastAsia="方正楷体_GBK" w:cs="Times New Roman"/>
          <w:b w:val="0"/>
          <w:bCs w:val="0"/>
          <w:sz w:val="32"/>
          <w:szCs w:val="32"/>
          <w:shd w:val="clear" w:color="auto" w:fill="FFFFFF"/>
        </w:rPr>
        <w:t>（二）机构设置</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仿宋_GBK" w:cs="Times New Roman"/>
          <w:b w:val="0"/>
          <w:bCs w:val="0"/>
          <w:sz w:val="32"/>
          <w:szCs w:val="32"/>
          <w:shd w:val="clear" w:color="auto" w:fill="FFFFFF"/>
          <w:lang w:eastAsia="zh-CN"/>
        </w:rPr>
      </w:pPr>
      <w:r>
        <w:rPr>
          <w:rStyle w:val="10"/>
          <w:rFonts w:hint="default" w:ascii="Times New Roman" w:hAnsi="Times New Roman" w:eastAsia="方正仿宋_GBK" w:cs="Times New Roman"/>
          <w:b w:val="0"/>
          <w:bCs w:val="0"/>
          <w:sz w:val="32"/>
          <w:szCs w:val="32"/>
          <w:shd w:val="clear" w:color="auto" w:fill="FFFFFF"/>
          <w:lang w:eastAsia="zh-CN"/>
        </w:rPr>
        <w:t>本单位为秀山土家族苗族自治县卫生健康委员会委属代管单位，是二级预算单位。</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10"/>
          <w:rFonts w:hint="default" w:ascii="Times New Roman" w:hAnsi="Times New Roman" w:eastAsia="方正黑体_GBK" w:cs="Times New Roman"/>
          <w:b w:val="0"/>
          <w:bCs w:val="0"/>
          <w:sz w:val="32"/>
          <w:szCs w:val="32"/>
          <w:shd w:val="clear" w:color="auto" w:fill="FFFFFF"/>
        </w:rPr>
        <w:t>二、单位决算情况说明</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楷体_GBK" w:cs="Times New Roman"/>
          <w:b w:val="0"/>
          <w:bCs w:val="0"/>
          <w:sz w:val="32"/>
          <w:szCs w:val="32"/>
          <w:shd w:val="clear" w:color="auto" w:fill="FFFFFF"/>
        </w:rPr>
      </w:pPr>
      <w:r>
        <w:rPr>
          <w:rStyle w:val="10"/>
          <w:rFonts w:hint="default" w:ascii="Times New Roman" w:hAnsi="Times New Roman" w:eastAsia="方正楷体_GBK" w:cs="Times New Roman"/>
          <w:b w:val="0"/>
          <w:bCs w:val="0"/>
          <w:sz w:val="32"/>
          <w:szCs w:val="32"/>
          <w:shd w:val="clear" w:color="auto" w:fill="FFFFFF"/>
        </w:rPr>
        <w:t>（一）收入支出决算总体情况说明</w:t>
      </w:r>
    </w:p>
    <w:p>
      <w:pPr>
        <w:pStyle w:val="8"/>
        <w:keepNext w:val="0"/>
        <w:keepLines w:val="0"/>
        <w:pageBreakBefore w:val="0"/>
        <w:widowControl/>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eastAsia" w:ascii="方正仿宋_GBK" w:hAnsi="方正仿宋_GBK" w:eastAsia="方正仿宋_GBK" w:cs="方正仿宋_GBK"/>
          <w:sz w:val="32"/>
          <w:szCs w:val="32"/>
          <w:shd w:val="clear" w:color="auto" w:fill="FFFFFF"/>
          <w:lang w:eastAsia="zh-CN"/>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年度收</w:t>
      </w:r>
      <w:r>
        <w:rPr>
          <w:rFonts w:hint="eastAsia" w:ascii="方正仿宋_GBK" w:hAnsi="方正仿宋_GBK" w:eastAsia="方正仿宋_GBK" w:cs="方正仿宋_GBK"/>
          <w:sz w:val="32"/>
          <w:szCs w:val="32"/>
          <w:shd w:val="clear" w:color="auto" w:fill="FFFFFF"/>
          <w:lang w:eastAsia="zh-CN"/>
        </w:rPr>
        <w:t>、支</w:t>
      </w:r>
      <w:r>
        <w:rPr>
          <w:rFonts w:ascii="方正仿宋_GBK" w:hAnsi="方正仿宋_GBK" w:eastAsia="方正仿宋_GBK" w:cs="方正仿宋_GBK"/>
          <w:sz w:val="32"/>
          <w:szCs w:val="32"/>
          <w:shd w:val="clear" w:color="auto" w:fill="FFFFFF"/>
        </w:rPr>
        <w:t>总计</w:t>
      </w:r>
      <w:r>
        <w:rPr>
          <w:rFonts w:hint="eastAsia" w:ascii="方正仿宋_GBK" w:hAnsi="方正仿宋_GBK" w:eastAsia="方正仿宋_GBK" w:cs="方正仿宋_GBK"/>
          <w:sz w:val="32"/>
          <w:szCs w:val="32"/>
          <w:shd w:val="clear" w:color="auto" w:fill="FFFFFF"/>
          <w:lang w:eastAsia="zh-CN"/>
        </w:rPr>
        <w:t>均为</w:t>
      </w:r>
      <w:r>
        <w:rPr>
          <w:rFonts w:hint="default" w:ascii="Times New Roman" w:hAnsi="Times New Roman" w:eastAsia="方正仿宋_GBK"/>
          <w:sz w:val="32"/>
          <w:szCs w:val="32"/>
          <w:shd w:val="clear" w:color="auto" w:fill="FFFFFF"/>
        </w:rPr>
        <w:t>23.68</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收、支与2023年度相比，减少5.21万元，下降18.0%</w:t>
      </w:r>
      <w:r>
        <w:rPr>
          <w:rFonts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sz w:val="32"/>
          <w:szCs w:val="32"/>
          <w:shd w:val="clear" w:color="auto" w:fill="FFFFFF"/>
          <w:lang w:eastAsia="zh-CN"/>
        </w:rPr>
        <w:t>人员经费减少。</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sz w:val="32"/>
          <w:szCs w:val="32"/>
          <w:shd w:val="clear" w:color="auto" w:fill="FFFFFF"/>
        </w:rPr>
      </w:pPr>
      <w:r>
        <w:rPr>
          <w:rStyle w:val="10"/>
          <w:rFonts w:hint="eastAsia" w:ascii="Times New Roman" w:hAnsi="Times New Roman" w:eastAsia="方正仿宋_GBK"/>
          <w:b w:val="0"/>
          <w:bCs/>
          <w:sz w:val="32"/>
          <w:szCs w:val="32"/>
          <w:shd w:val="clear" w:color="auto" w:fill="FFFFFF"/>
          <w:lang w:val="en-US" w:eastAsia="zh-CN"/>
        </w:rPr>
        <w:t>1</w:t>
      </w:r>
      <w:r>
        <w:rPr>
          <w:rStyle w:val="10"/>
          <w:rFonts w:ascii="方正仿宋_GBK" w:hAnsi="方正仿宋_GBK" w:eastAsia="方正仿宋_GBK" w:cs="方正仿宋_GBK"/>
          <w:b w:val="0"/>
          <w:bCs/>
          <w:sz w:val="32"/>
          <w:szCs w:val="32"/>
          <w:shd w:val="clear" w:color="auto" w:fill="FFFFFF"/>
        </w:rPr>
        <w:t>.收入情况。</w:t>
      </w: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年度收入合计</w:t>
      </w:r>
      <w:r>
        <w:rPr>
          <w:rFonts w:hint="default" w:ascii="Times New Roman" w:hAnsi="Times New Roman" w:eastAsia="方正仿宋_GBK"/>
          <w:b w:val="0"/>
          <w:bCs/>
          <w:sz w:val="32"/>
          <w:szCs w:val="32"/>
          <w:shd w:val="clear" w:color="auto" w:fill="FFFFFF"/>
        </w:rPr>
        <w:t>23.68</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与2023年度相比，减少5.21万元，下降18.0%</w:t>
      </w:r>
      <w:r>
        <w:rPr>
          <w:rFonts w:ascii="方正仿宋_GBK" w:hAnsi="方正仿宋_GBK" w:eastAsia="方正仿宋_GBK" w:cs="方正仿宋_GBK"/>
          <w:b w:val="0"/>
          <w:bCs/>
          <w:sz w:val="32"/>
          <w:szCs w:val="32"/>
          <w:shd w:val="clear" w:color="auto" w:fill="FFFFFF"/>
        </w:rPr>
        <w:t>，主要原因是</w:t>
      </w:r>
      <w:r>
        <w:rPr>
          <w:rFonts w:hint="eastAsia" w:ascii="方正仿宋_GBK" w:hAnsi="方正仿宋_GBK" w:eastAsia="方正仿宋_GBK" w:cs="方正仿宋_GBK"/>
          <w:b w:val="0"/>
          <w:bCs/>
          <w:sz w:val="32"/>
          <w:szCs w:val="32"/>
          <w:shd w:val="clear" w:color="auto" w:fill="FFFFFF"/>
          <w:lang w:eastAsia="zh-CN"/>
        </w:rPr>
        <w:t>人员经费减少。</w:t>
      </w:r>
      <w:r>
        <w:rPr>
          <w:rFonts w:ascii="方正仿宋_GBK" w:hAnsi="方正仿宋_GBK" w:eastAsia="方正仿宋_GBK" w:cs="方正仿宋_GBK"/>
          <w:b w:val="0"/>
          <w:bCs/>
          <w:sz w:val="32"/>
          <w:szCs w:val="32"/>
          <w:shd w:val="clear" w:color="auto" w:fill="FFFFFF"/>
        </w:rPr>
        <w:t>其中：财政拨款收入</w:t>
      </w:r>
      <w:r>
        <w:rPr>
          <w:rFonts w:hint="default" w:ascii="Times New Roman" w:hAnsi="Times New Roman" w:eastAsia="方正仿宋_GBK"/>
          <w:b w:val="0"/>
          <w:bCs/>
          <w:sz w:val="32"/>
          <w:szCs w:val="32"/>
          <w:shd w:val="clear" w:color="auto" w:fill="FFFFFF"/>
        </w:rPr>
        <w:t>23.68</w:t>
      </w:r>
      <w:r>
        <w:rPr>
          <w:rFonts w:ascii="方正仿宋_GBK" w:hAnsi="方正仿宋_GBK" w:eastAsia="方正仿宋_GBK" w:cs="方正仿宋_GBK"/>
          <w:b w:val="0"/>
          <w:bCs/>
          <w:sz w:val="32"/>
          <w:szCs w:val="32"/>
          <w:shd w:val="clear" w:color="auto" w:fill="FFFFFF"/>
        </w:rPr>
        <w:t>万元，占</w:t>
      </w:r>
      <w:r>
        <w:rPr>
          <w:rFonts w:hint="default" w:ascii="Times New Roman" w:hAnsi="Times New Roman" w:eastAsia="方正仿宋_GBK"/>
          <w:b w:val="0"/>
          <w:bCs/>
          <w:sz w:val="32"/>
          <w:szCs w:val="32"/>
          <w:shd w:val="clear" w:color="auto" w:fill="FFFFFF"/>
        </w:rPr>
        <w:t>100.0%</w:t>
      </w:r>
      <w:r>
        <w:rPr>
          <w:rFonts w:ascii="方正仿宋_GBK" w:hAnsi="方正仿宋_GBK" w:eastAsia="方正仿宋_GBK" w:cs="方正仿宋_GBK"/>
          <w:b w:val="0"/>
          <w:bCs/>
          <w:sz w:val="32"/>
          <w:szCs w:val="32"/>
          <w:shd w:val="clear" w:color="auto" w:fill="FFFFFF"/>
        </w:rPr>
        <w:t>；事业收入</w:t>
      </w:r>
      <w:r>
        <w:rPr>
          <w:rFonts w:hint="default"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万元，占</w:t>
      </w:r>
      <w:r>
        <w:rPr>
          <w:rFonts w:hint="default" w:ascii="Times New Roman" w:hAnsi="Times New Roman" w:eastAsia="方正仿宋_GBK"/>
          <w:b w:val="0"/>
          <w:bCs/>
          <w:sz w:val="32"/>
          <w:szCs w:val="32"/>
          <w:shd w:val="clear" w:color="auto" w:fill="FFFFFF"/>
        </w:rPr>
        <w:t>0.0%</w:t>
      </w:r>
      <w:r>
        <w:rPr>
          <w:rFonts w:ascii="方正仿宋_GBK" w:hAnsi="方正仿宋_GBK" w:eastAsia="方正仿宋_GBK" w:cs="方正仿宋_GBK"/>
          <w:b w:val="0"/>
          <w:bCs/>
          <w:sz w:val="32"/>
          <w:szCs w:val="32"/>
          <w:shd w:val="clear" w:color="auto" w:fill="FFFFFF"/>
        </w:rPr>
        <w:t>；经营收入</w:t>
      </w:r>
      <w:r>
        <w:rPr>
          <w:rFonts w:hint="default"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万元，占</w:t>
      </w:r>
      <w:r>
        <w:rPr>
          <w:rFonts w:hint="default" w:ascii="Times New Roman" w:hAnsi="Times New Roman" w:eastAsia="方正仿宋_GBK"/>
          <w:b w:val="0"/>
          <w:bCs/>
          <w:sz w:val="32"/>
          <w:szCs w:val="32"/>
          <w:shd w:val="clear" w:color="auto" w:fill="FFFFFF"/>
        </w:rPr>
        <w:t>0.0%</w:t>
      </w:r>
      <w:r>
        <w:rPr>
          <w:rFonts w:ascii="方正仿宋_GBK" w:hAnsi="方正仿宋_GBK" w:eastAsia="方正仿宋_GBK" w:cs="方正仿宋_GBK"/>
          <w:b w:val="0"/>
          <w:bCs/>
          <w:sz w:val="32"/>
          <w:szCs w:val="32"/>
          <w:shd w:val="clear" w:color="auto" w:fill="FFFFFF"/>
        </w:rPr>
        <w:t>；其他收入</w:t>
      </w:r>
      <w:r>
        <w:rPr>
          <w:rFonts w:hint="default"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万元，占</w:t>
      </w:r>
      <w:r>
        <w:rPr>
          <w:rFonts w:hint="default" w:ascii="Times New Roman" w:hAnsi="Times New Roman" w:eastAsia="方正仿宋_GBK"/>
          <w:b w:val="0"/>
          <w:bCs/>
          <w:sz w:val="32"/>
          <w:szCs w:val="32"/>
          <w:shd w:val="clear" w:color="auto" w:fill="FFFFFF"/>
        </w:rPr>
        <w:t>0.0%</w:t>
      </w:r>
      <w:r>
        <w:rPr>
          <w:rFonts w:ascii="方正仿宋_GBK" w:hAnsi="方正仿宋_GBK" w:eastAsia="方正仿宋_GBK" w:cs="方正仿宋_GBK"/>
          <w:b w:val="0"/>
          <w:bCs/>
          <w:sz w:val="32"/>
          <w:szCs w:val="32"/>
          <w:shd w:val="clear" w:color="auto" w:fill="FFFFFF"/>
        </w:rPr>
        <w:t>。此外，</w:t>
      </w:r>
      <w:r>
        <w:rPr>
          <w:rFonts w:hint="eastAsia" w:ascii="方正仿宋_GBK" w:hAnsi="方正仿宋_GBK" w:eastAsia="方正仿宋_GBK" w:cs="方正仿宋_GBK"/>
          <w:b w:val="0"/>
          <w:bCs/>
          <w:sz w:val="32"/>
          <w:szCs w:val="32"/>
          <w:shd w:val="clear" w:color="auto" w:fill="FFFFFF"/>
        </w:rPr>
        <w:t>使用非财政拨款结余（含专用结余）</w:t>
      </w:r>
      <w:r>
        <w:rPr>
          <w:rFonts w:hint="default"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万元，年初结转和结余</w:t>
      </w:r>
      <w:r>
        <w:rPr>
          <w:rFonts w:hint="default"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b w:val="0"/>
          <w:bCs/>
          <w:sz w:val="32"/>
          <w:szCs w:val="32"/>
          <w:shd w:val="clear" w:color="auto" w:fill="FFFFFF"/>
        </w:rPr>
      </w:pPr>
      <w:r>
        <w:rPr>
          <w:rStyle w:val="10"/>
          <w:rFonts w:hint="eastAsia" w:ascii="Times New Roman" w:hAnsi="Times New Roman" w:eastAsia="方正仿宋_GBK"/>
          <w:b w:val="0"/>
          <w:bCs/>
          <w:sz w:val="32"/>
          <w:szCs w:val="32"/>
          <w:shd w:val="clear" w:color="auto" w:fill="FFFFFF"/>
          <w:lang w:val="en-US" w:eastAsia="zh-CN"/>
        </w:rPr>
        <w:t>2</w:t>
      </w:r>
      <w:r>
        <w:rPr>
          <w:rStyle w:val="10"/>
          <w:rFonts w:ascii="方正仿宋_GBK" w:hAnsi="方正仿宋_GBK" w:eastAsia="方正仿宋_GBK" w:cs="方正仿宋_GBK"/>
          <w:b w:val="0"/>
          <w:bCs/>
          <w:sz w:val="32"/>
          <w:szCs w:val="32"/>
          <w:shd w:val="clear" w:color="auto" w:fill="FFFFFF"/>
        </w:rPr>
        <w:t>.支出情况。</w:t>
      </w: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年度支出合计</w:t>
      </w:r>
      <w:r>
        <w:rPr>
          <w:rFonts w:hint="default" w:ascii="Times New Roman" w:hAnsi="Times New Roman" w:eastAsia="方正仿宋_GBK"/>
          <w:b w:val="0"/>
          <w:bCs/>
          <w:sz w:val="32"/>
          <w:szCs w:val="32"/>
          <w:shd w:val="clear" w:color="auto" w:fill="FFFFFF"/>
        </w:rPr>
        <w:t>23.68</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与2023年度相比，减少5.21万元，下降18.0%</w:t>
      </w:r>
      <w:r>
        <w:rPr>
          <w:rFonts w:ascii="方正仿宋_GBK" w:hAnsi="方正仿宋_GBK" w:eastAsia="方正仿宋_GBK" w:cs="方正仿宋_GBK"/>
          <w:b w:val="0"/>
          <w:bCs/>
          <w:sz w:val="32"/>
          <w:szCs w:val="32"/>
          <w:shd w:val="clear" w:color="auto" w:fill="FFFFFF"/>
        </w:rPr>
        <w:t>，主要原因是</w:t>
      </w:r>
      <w:r>
        <w:rPr>
          <w:rFonts w:hint="eastAsia" w:ascii="方正仿宋_GBK" w:hAnsi="方正仿宋_GBK" w:eastAsia="方正仿宋_GBK" w:cs="方正仿宋_GBK"/>
          <w:b w:val="0"/>
          <w:bCs/>
          <w:sz w:val="32"/>
          <w:szCs w:val="32"/>
          <w:shd w:val="clear" w:color="auto" w:fill="FFFFFF"/>
          <w:lang w:eastAsia="zh-CN"/>
        </w:rPr>
        <w:t>人员经费减少。</w:t>
      </w:r>
      <w:r>
        <w:rPr>
          <w:rFonts w:ascii="方正仿宋_GBK" w:hAnsi="方正仿宋_GBK" w:eastAsia="方正仿宋_GBK" w:cs="方正仿宋_GBK"/>
          <w:b w:val="0"/>
          <w:bCs/>
          <w:sz w:val="32"/>
          <w:szCs w:val="32"/>
          <w:shd w:val="clear" w:color="auto" w:fill="FFFFFF"/>
        </w:rPr>
        <w:t>其中：基本支出</w:t>
      </w:r>
      <w:r>
        <w:rPr>
          <w:rFonts w:hint="default" w:ascii="Times New Roman" w:hAnsi="Times New Roman" w:eastAsia="方正仿宋_GBK"/>
          <w:b w:val="0"/>
          <w:bCs/>
          <w:sz w:val="32"/>
          <w:szCs w:val="32"/>
          <w:shd w:val="clear" w:color="auto" w:fill="FFFFFF"/>
        </w:rPr>
        <w:t>23.68</w:t>
      </w:r>
      <w:r>
        <w:rPr>
          <w:rFonts w:ascii="方正仿宋_GBK" w:hAnsi="方正仿宋_GBK" w:eastAsia="方正仿宋_GBK" w:cs="方正仿宋_GBK"/>
          <w:b w:val="0"/>
          <w:bCs/>
          <w:sz w:val="32"/>
          <w:szCs w:val="32"/>
          <w:shd w:val="clear" w:color="auto" w:fill="FFFFFF"/>
        </w:rPr>
        <w:t>万元，占</w:t>
      </w:r>
      <w:r>
        <w:rPr>
          <w:rFonts w:hint="default" w:ascii="Times New Roman" w:hAnsi="Times New Roman" w:eastAsia="方正仿宋_GBK"/>
          <w:b w:val="0"/>
          <w:bCs/>
          <w:sz w:val="32"/>
          <w:szCs w:val="32"/>
          <w:shd w:val="clear" w:color="auto" w:fill="FFFFFF"/>
        </w:rPr>
        <w:t>100.0%</w:t>
      </w:r>
      <w:r>
        <w:rPr>
          <w:rFonts w:ascii="方正仿宋_GBK" w:hAnsi="方正仿宋_GBK" w:eastAsia="方正仿宋_GBK" w:cs="方正仿宋_GBK"/>
          <w:b w:val="0"/>
          <w:bCs/>
          <w:sz w:val="32"/>
          <w:szCs w:val="32"/>
          <w:shd w:val="clear" w:color="auto" w:fill="FFFFFF"/>
        </w:rPr>
        <w:t>；项目支出</w:t>
      </w:r>
      <w:r>
        <w:rPr>
          <w:rFonts w:hint="default"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万元，占</w:t>
      </w:r>
      <w:r>
        <w:rPr>
          <w:rFonts w:hint="default" w:ascii="Times New Roman" w:hAnsi="Times New Roman" w:eastAsia="方正仿宋_GBK"/>
          <w:b w:val="0"/>
          <w:bCs/>
          <w:sz w:val="32"/>
          <w:szCs w:val="32"/>
          <w:shd w:val="clear" w:color="auto" w:fill="FFFFFF"/>
        </w:rPr>
        <w:t>0.0%</w:t>
      </w:r>
      <w:r>
        <w:rPr>
          <w:rFonts w:ascii="方正仿宋_GBK" w:hAnsi="方正仿宋_GBK" w:eastAsia="方正仿宋_GBK" w:cs="方正仿宋_GBK"/>
          <w:b w:val="0"/>
          <w:bCs/>
          <w:sz w:val="32"/>
          <w:szCs w:val="32"/>
          <w:shd w:val="clear" w:color="auto" w:fill="FFFFFF"/>
        </w:rPr>
        <w:t>；经营支出</w:t>
      </w:r>
      <w:r>
        <w:rPr>
          <w:rFonts w:hint="default" w:ascii="Times New Roman" w:hAnsi="Times New Roman" w:eastAsia="方正仿宋_GBK"/>
          <w:b w:val="0"/>
          <w:bCs/>
          <w:sz w:val="32"/>
          <w:szCs w:val="32"/>
        </w:rPr>
        <w:t>0.00</w:t>
      </w:r>
      <w:r>
        <w:rPr>
          <w:rFonts w:ascii="方正仿宋_GBK" w:hAnsi="方正仿宋_GBK" w:eastAsia="方正仿宋_GBK" w:cs="方正仿宋_GBK"/>
          <w:b w:val="0"/>
          <w:bCs/>
          <w:sz w:val="32"/>
          <w:szCs w:val="32"/>
          <w:shd w:val="clear" w:color="auto" w:fill="FFFFFF"/>
        </w:rPr>
        <w:t>万元，占</w:t>
      </w:r>
      <w:r>
        <w:rPr>
          <w:rFonts w:hint="default" w:ascii="Times New Roman" w:hAnsi="Times New Roman" w:eastAsia="方正仿宋_GBK"/>
          <w:b w:val="0"/>
          <w:bCs/>
          <w:sz w:val="32"/>
          <w:szCs w:val="32"/>
          <w:shd w:val="clear" w:color="auto" w:fill="FFFFFF"/>
        </w:rPr>
        <w:t>0.0%</w:t>
      </w:r>
      <w:r>
        <w:rPr>
          <w:rFonts w:ascii="方正仿宋_GBK" w:hAnsi="方正仿宋_GBK" w:eastAsia="方正仿宋_GBK" w:cs="方正仿宋_GBK"/>
          <w:b w:val="0"/>
          <w:bCs/>
          <w:sz w:val="32"/>
          <w:szCs w:val="32"/>
          <w:shd w:val="clear" w:color="auto" w:fill="FFFFFF"/>
        </w:rPr>
        <w:t>。此外，结余分配</w:t>
      </w:r>
      <w:r>
        <w:rPr>
          <w:rFonts w:hint="default"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sz w:val="32"/>
          <w:szCs w:val="32"/>
          <w:shd w:val="clear" w:color="auto" w:fill="FFFFFF"/>
          <w:lang w:eastAsia="zh-CN"/>
        </w:rPr>
      </w:pPr>
      <w:r>
        <w:rPr>
          <w:rStyle w:val="10"/>
          <w:rFonts w:hint="eastAsia" w:ascii="Times New Roman" w:hAnsi="Times New Roman" w:eastAsia="方正仿宋_GBK"/>
          <w:b w:val="0"/>
          <w:bCs/>
          <w:sz w:val="32"/>
          <w:szCs w:val="32"/>
          <w:shd w:val="clear" w:color="auto" w:fill="FFFFFF"/>
          <w:lang w:val="en-US" w:eastAsia="zh-CN"/>
        </w:rPr>
        <w:t>3</w:t>
      </w:r>
      <w:r>
        <w:rPr>
          <w:rStyle w:val="10"/>
          <w:rFonts w:ascii="方正仿宋_GBK" w:hAnsi="方正仿宋_GBK" w:eastAsia="方正仿宋_GBK" w:cs="方正仿宋_GBK"/>
          <w:b w:val="0"/>
          <w:bCs/>
          <w:sz w:val="32"/>
          <w:szCs w:val="32"/>
          <w:shd w:val="clear" w:color="auto" w:fill="FFFFFF"/>
        </w:rPr>
        <w:t>.结转结余情况。</w:t>
      </w: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年度年末结转和结余</w:t>
      </w:r>
      <w:r>
        <w:rPr>
          <w:rFonts w:hint="default"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与2023年度相比，无</w:t>
      </w:r>
      <w:r>
        <w:rPr>
          <w:rFonts w:hint="default" w:ascii="Times New Roman" w:hAnsi="Times New Roman" w:eastAsia="方正仿宋_GBK"/>
          <w:sz w:val="32"/>
          <w:szCs w:val="32"/>
          <w:shd w:val="clear" w:color="auto" w:fill="FFFFFF"/>
        </w:rPr>
        <w:t>增减</w:t>
      </w:r>
      <w:r>
        <w:rPr>
          <w:rFonts w:ascii="方正仿宋_GBK" w:hAnsi="方正仿宋_GBK" w:eastAsia="方正仿宋_GBK" w:cs="方正仿宋_GBK"/>
          <w:sz w:val="32"/>
          <w:szCs w:val="32"/>
          <w:shd w:val="clear" w:color="auto" w:fill="FFFFFF"/>
        </w:rPr>
        <w:t>，主要原因是</w:t>
      </w:r>
      <w:r>
        <w:rPr>
          <w:rFonts w:hint="eastAsia" w:ascii="Times New Roman" w:hAnsi="Times New Roman" w:eastAsia="方正仿宋_GBK" w:cs="Times New Roman"/>
          <w:sz w:val="32"/>
          <w:szCs w:val="32"/>
          <w:shd w:val="clear" w:color="auto" w:fill="FFFFFF"/>
          <w:lang w:eastAsia="zh-CN"/>
        </w:rPr>
        <w:t>年末收支平衡，无结余。</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（二）财政拨款收入支出决算总体情况说明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shd w:val="clear" w:color="auto" w:fill="FFFFFF"/>
        </w:rPr>
        <w:t>2024年度财政拨款收、支总计均为23.68万元。与2023年</w:t>
      </w:r>
      <w:r>
        <w:rPr>
          <w:rFonts w:hint="default" w:ascii="Times New Roman" w:hAnsi="Times New Roman" w:eastAsia="方正仿宋_GBK" w:cs="Times New Roman"/>
          <w:sz w:val="32"/>
          <w:szCs w:val="32"/>
          <w:shd w:val="clear" w:color="auto" w:fill="FFFFFF"/>
          <w:lang w:eastAsia="zh-CN"/>
        </w:rPr>
        <w:t>度</w:t>
      </w:r>
      <w:r>
        <w:rPr>
          <w:rFonts w:hint="default" w:ascii="Times New Roman" w:hAnsi="Times New Roman" w:eastAsia="方正仿宋_GBK" w:cs="Times New Roman"/>
          <w:sz w:val="32"/>
          <w:szCs w:val="32"/>
          <w:shd w:val="clear" w:color="auto" w:fill="FFFFFF"/>
        </w:rPr>
        <w:t>相比，财政拨款收、支总计各减少5.21万元，下降18.0%。主要原因是</w:t>
      </w:r>
      <w:r>
        <w:rPr>
          <w:rFonts w:hint="default" w:ascii="Times New Roman" w:hAnsi="Times New Roman" w:eastAsia="方正仿宋_GBK" w:cs="Times New Roman"/>
          <w:sz w:val="32"/>
          <w:szCs w:val="32"/>
          <w:shd w:val="clear" w:color="auto" w:fill="FFFFFF"/>
          <w:lang w:eastAsia="zh-CN"/>
        </w:rPr>
        <w:t>人员经费减少。</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（三）一般公共预算财政拨款收入支出决算情况说明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10"/>
          <w:rFonts w:hint="default" w:ascii="Times New Roman" w:hAnsi="Times New Roman" w:eastAsia="方正仿宋_GBK"/>
          <w:b w:val="0"/>
          <w:bCs/>
          <w:sz w:val="32"/>
          <w:szCs w:val="32"/>
          <w:shd w:val="clear" w:color="auto" w:fill="FFFFFF"/>
        </w:rPr>
        <w:t>1</w:t>
      </w:r>
      <w:r>
        <w:rPr>
          <w:rStyle w:val="10"/>
          <w:rFonts w:ascii="方正仿宋_GBK" w:hAnsi="方正仿宋_GBK" w:eastAsia="方正仿宋_GBK" w:cs="方正仿宋_GBK"/>
          <w:b w:val="0"/>
          <w:bCs/>
          <w:sz w:val="32"/>
          <w:szCs w:val="32"/>
          <w:shd w:val="clear" w:color="auto" w:fill="FFFFFF"/>
        </w:rPr>
        <w:t>.收入情况。</w:t>
      </w: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年度一般公共预算财政拨款收入</w:t>
      </w:r>
      <w:r>
        <w:rPr>
          <w:rFonts w:hint="default" w:ascii="Times New Roman" w:hAnsi="Times New Roman" w:eastAsia="方正仿宋_GBK"/>
          <w:b w:val="0"/>
          <w:bCs/>
          <w:sz w:val="32"/>
          <w:szCs w:val="32"/>
          <w:shd w:val="clear" w:color="auto" w:fill="FFFFFF"/>
        </w:rPr>
        <w:t>23.68</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与2023年度相比，减少5.21万元，下降18.0%</w:t>
      </w:r>
      <w:r>
        <w:rPr>
          <w:rFonts w:ascii="方正仿宋_GBK" w:hAnsi="方正仿宋_GBK" w:eastAsia="方正仿宋_GBK" w:cs="方正仿宋_GBK"/>
          <w:b w:val="0"/>
          <w:bCs/>
          <w:sz w:val="32"/>
          <w:szCs w:val="32"/>
          <w:shd w:val="clear" w:color="auto" w:fill="FFFFFF"/>
        </w:rPr>
        <w:t>。主要原因</w:t>
      </w:r>
      <w:r>
        <w:rPr>
          <w:rFonts w:hint="default" w:ascii="Times New Roman" w:hAnsi="Times New Roman" w:eastAsia="方正仿宋_GBK"/>
          <w:b w:val="0"/>
          <w:bCs/>
          <w:sz w:val="32"/>
          <w:szCs w:val="32"/>
          <w:shd w:val="clear" w:color="auto" w:fill="FFFFFF"/>
        </w:rPr>
        <w:t>是</w:t>
      </w:r>
      <w:r>
        <w:rPr>
          <w:rFonts w:hint="eastAsia" w:ascii="Times New Roman" w:hAnsi="Times New Roman" w:eastAsia="方正仿宋_GBK"/>
          <w:b w:val="0"/>
          <w:bCs/>
          <w:sz w:val="32"/>
          <w:szCs w:val="32"/>
          <w:shd w:val="clear" w:color="auto" w:fill="FFFFFF"/>
          <w:lang w:eastAsia="zh-CN"/>
        </w:rPr>
        <w:t>人员经</w:t>
      </w:r>
      <w:r>
        <w:rPr>
          <w:rFonts w:hint="eastAsia" w:ascii="Times New Roman" w:hAnsi="Times New Roman" w:eastAsia="方正仿宋_GBK"/>
          <w:sz w:val="32"/>
          <w:szCs w:val="32"/>
          <w:shd w:val="clear" w:color="auto" w:fill="FFFFFF"/>
          <w:lang w:eastAsia="zh-CN"/>
        </w:rPr>
        <w:t>费减少。</w:t>
      </w:r>
      <w:r>
        <w:rPr>
          <w:rFonts w:hint="default" w:ascii="Times New Roman" w:hAnsi="Times New Roman" w:eastAsia="方正仿宋_GBK"/>
          <w:sz w:val="32"/>
          <w:szCs w:val="32"/>
          <w:shd w:val="clear" w:color="auto" w:fill="FFFFFF"/>
        </w:rPr>
        <w:t>较年初预算数增加0.18万元，增长0.8%</w:t>
      </w:r>
      <w:r>
        <w:rPr>
          <w:rFonts w:ascii="方正仿宋_GBK" w:hAnsi="方正仿宋_GBK" w:eastAsia="方正仿宋_GBK" w:cs="方正仿宋_GBK"/>
          <w:sz w:val="32"/>
          <w:szCs w:val="32"/>
          <w:shd w:val="clear" w:color="auto" w:fill="FFFFFF"/>
        </w:rPr>
        <w:t>。</w:t>
      </w:r>
      <w:r>
        <w:rPr>
          <w:rStyle w:val="10"/>
          <w:rFonts w:hint="default" w:ascii="Times New Roman" w:hAnsi="Times New Roman" w:eastAsia="方正仿宋_GBK" w:cs="Times New Roman"/>
          <w:b w:val="0"/>
          <w:bCs/>
          <w:sz w:val="32"/>
          <w:szCs w:val="32"/>
          <w:shd w:val="clear" w:color="auto" w:fill="FFFFFF"/>
        </w:rPr>
        <w:t>主要原因是</w:t>
      </w:r>
      <w:r>
        <w:rPr>
          <w:rStyle w:val="10"/>
          <w:rFonts w:hint="default" w:ascii="Times New Roman" w:hAnsi="Times New Roman" w:eastAsia="方正仿宋_GBK" w:cs="Times New Roman"/>
          <w:b w:val="0"/>
          <w:bCs/>
          <w:sz w:val="32"/>
          <w:szCs w:val="32"/>
          <w:shd w:val="clear" w:color="auto" w:fill="FFFFFF"/>
          <w:lang w:eastAsia="zh-CN"/>
        </w:rPr>
        <w:t>本单位收入来源于财政实际拨款</w:t>
      </w:r>
      <w:r>
        <w:rPr>
          <w:rStyle w:val="10"/>
          <w:rFonts w:hint="eastAsia" w:ascii="Times New Roman" w:hAnsi="Times New Roman" w:eastAsia="方正仿宋_GBK" w:cs="Times New Roman"/>
          <w:b w:val="0"/>
          <w:bCs/>
          <w:sz w:val="32"/>
          <w:szCs w:val="32"/>
          <w:shd w:val="clear" w:color="auto" w:fill="FFFFFF"/>
          <w:lang w:eastAsia="zh-CN"/>
        </w:rPr>
        <w:t>。</w:t>
      </w:r>
      <w:r>
        <w:rPr>
          <w:rFonts w:ascii="方正仿宋_GBK" w:hAnsi="方正仿宋_GBK" w:eastAsia="方正仿宋_GBK" w:cs="方正仿宋_GBK"/>
          <w:sz w:val="32"/>
          <w:szCs w:val="32"/>
          <w:shd w:val="clear" w:color="auto" w:fill="FFFFFF"/>
        </w:rPr>
        <w:t>此外，年初财政拨款结转和结余</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ascii="方正仿宋_GBK" w:hAnsi="方正仿宋_GBK" w:eastAsia="方正仿宋_GBK" w:cs="方正仿宋_GBK"/>
          <w:color w:val="FF0000"/>
          <w:sz w:val="32"/>
          <w:szCs w:val="32"/>
          <w:shd w:val="clear" w:color="auto" w:fill="FFFFFF"/>
        </w:rPr>
      </w:pPr>
      <w:r>
        <w:rPr>
          <w:rStyle w:val="10"/>
          <w:rFonts w:hint="default" w:ascii="Times New Roman" w:hAnsi="Times New Roman" w:eastAsia="方正仿宋_GBK"/>
          <w:b w:val="0"/>
          <w:bCs/>
          <w:sz w:val="32"/>
          <w:szCs w:val="32"/>
          <w:shd w:val="clear" w:color="auto" w:fill="FFFFFF"/>
        </w:rPr>
        <w:t>2</w:t>
      </w:r>
      <w:r>
        <w:rPr>
          <w:rStyle w:val="10"/>
          <w:rFonts w:ascii="方正仿宋_GBK" w:hAnsi="方正仿宋_GBK" w:eastAsia="方正仿宋_GBK" w:cs="方正仿宋_GBK"/>
          <w:b w:val="0"/>
          <w:bCs/>
          <w:sz w:val="32"/>
          <w:szCs w:val="32"/>
          <w:shd w:val="clear" w:color="auto" w:fill="FFFFFF"/>
        </w:rPr>
        <w:t>.支出情况。</w:t>
      </w:r>
      <w:r>
        <w:rPr>
          <w:rFonts w:hint="default" w:ascii="Times New Roman" w:hAnsi="Times New Roman" w:eastAsia="方正仿宋_GBK"/>
          <w:b w:val="0"/>
          <w:bCs/>
          <w:sz w:val="32"/>
          <w:szCs w:val="32"/>
          <w:shd w:val="clear" w:color="auto" w:fill="FFFFFF"/>
        </w:rPr>
        <w:t>20</w:t>
      </w:r>
      <w:r>
        <w:rPr>
          <w:rFonts w:hint="default" w:ascii="Times New Roman" w:hAnsi="Times New Roman" w:eastAsia="方正仿宋_GBK"/>
          <w:sz w:val="32"/>
          <w:szCs w:val="32"/>
          <w:shd w:val="clear" w:color="auto" w:fill="FFFFFF"/>
        </w:rPr>
        <w:t>24</w:t>
      </w:r>
      <w:r>
        <w:rPr>
          <w:rFonts w:ascii="方正仿宋_GBK" w:hAnsi="方正仿宋_GBK" w:eastAsia="方正仿宋_GBK" w:cs="方正仿宋_GBK"/>
          <w:sz w:val="32"/>
          <w:szCs w:val="32"/>
          <w:shd w:val="clear" w:color="auto" w:fill="FFFFFF"/>
        </w:rPr>
        <w:t>年度一般公共预算财政拨款支出</w:t>
      </w:r>
      <w:r>
        <w:rPr>
          <w:rFonts w:hint="default" w:ascii="Times New Roman" w:hAnsi="Times New Roman" w:eastAsia="方正仿宋_GBK"/>
          <w:sz w:val="32"/>
          <w:szCs w:val="32"/>
          <w:shd w:val="clear" w:color="auto" w:fill="FFFFFF"/>
        </w:rPr>
        <w:t>23.68</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与2023年度相比，减少5.21万元，下降18.0%</w:t>
      </w:r>
      <w:r>
        <w:rPr>
          <w:rFonts w:ascii="方正仿宋_GBK" w:hAnsi="方正仿宋_GBK" w:eastAsia="方正仿宋_GBK" w:cs="方正仿宋_GBK"/>
          <w:sz w:val="32"/>
          <w:szCs w:val="32"/>
          <w:shd w:val="clear" w:color="auto" w:fill="FFFFFF"/>
        </w:rPr>
        <w:t>。</w:t>
      </w:r>
      <w:r>
        <w:rPr>
          <w:rStyle w:val="10"/>
          <w:rFonts w:hint="default" w:ascii="Times New Roman" w:hAnsi="Times New Roman" w:eastAsia="方正仿宋_GBK" w:cs="Times New Roman"/>
          <w:b w:val="0"/>
          <w:bCs/>
          <w:sz w:val="32"/>
          <w:szCs w:val="32"/>
          <w:shd w:val="clear" w:color="auto" w:fill="FFFFFF"/>
        </w:rPr>
        <w:t>主要原因是</w:t>
      </w:r>
      <w:r>
        <w:rPr>
          <w:rStyle w:val="10"/>
          <w:rFonts w:hint="default" w:ascii="Times New Roman" w:hAnsi="Times New Roman" w:eastAsia="方正仿宋_GBK" w:cs="Times New Roman"/>
          <w:b w:val="0"/>
          <w:bCs/>
          <w:sz w:val="32"/>
          <w:szCs w:val="32"/>
          <w:shd w:val="clear" w:color="auto" w:fill="FFFFFF"/>
          <w:lang w:eastAsia="zh-CN"/>
        </w:rPr>
        <w:t>本单位支出来源于财政实际拨款。</w:t>
      </w:r>
      <w:r>
        <w:rPr>
          <w:rFonts w:hint="default" w:ascii="Times New Roman" w:hAnsi="Times New Roman" w:eastAsia="方正仿宋_GBK"/>
          <w:sz w:val="32"/>
          <w:szCs w:val="32"/>
          <w:shd w:val="clear" w:color="auto" w:fill="FFFFFF"/>
        </w:rPr>
        <w:t>较年初预算数增加0.18万元，增长0.8%</w:t>
      </w:r>
      <w:r>
        <w:rPr>
          <w:rFonts w:ascii="方正仿宋_GBK" w:hAnsi="方正仿宋_GBK" w:eastAsia="方正仿宋_GBK" w:cs="方正仿宋_GBK"/>
          <w:sz w:val="32"/>
          <w:szCs w:val="32"/>
          <w:shd w:val="clear" w:color="auto" w:fill="FFFFFF"/>
        </w:rPr>
        <w:t>。</w:t>
      </w:r>
      <w:r>
        <w:rPr>
          <w:rStyle w:val="10"/>
          <w:rFonts w:hint="default" w:ascii="Times New Roman" w:hAnsi="Times New Roman" w:eastAsia="方正仿宋_GBK" w:cs="Times New Roman"/>
          <w:b w:val="0"/>
          <w:bCs/>
          <w:sz w:val="32"/>
          <w:szCs w:val="32"/>
          <w:shd w:val="clear" w:color="auto" w:fill="FFFFFF"/>
        </w:rPr>
        <w:t>主要原因是</w:t>
      </w:r>
      <w:r>
        <w:rPr>
          <w:rStyle w:val="10"/>
          <w:rFonts w:hint="default" w:ascii="Times New Roman" w:hAnsi="Times New Roman" w:eastAsia="方正仿宋_GBK" w:cs="Times New Roman"/>
          <w:b w:val="0"/>
          <w:bCs/>
          <w:sz w:val="32"/>
          <w:szCs w:val="32"/>
          <w:shd w:val="clear" w:color="auto" w:fill="FFFFFF"/>
          <w:lang w:eastAsia="zh-CN"/>
        </w:rPr>
        <w:t>本单位支出来源于财政实际拨款。</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sz w:val="32"/>
          <w:szCs w:val="32"/>
          <w:highlight w:val="none"/>
          <w:shd w:val="clear" w:color="auto" w:fill="FFFFFF"/>
        </w:rPr>
      </w:pPr>
      <w:r>
        <w:rPr>
          <w:rFonts w:ascii="方正仿宋_GBK" w:hAnsi="方正仿宋_GBK" w:eastAsia="方正仿宋_GBK" w:cs="方正仿宋_GBK"/>
          <w:sz w:val="32"/>
          <w:szCs w:val="32"/>
          <w:highlight w:val="none"/>
          <w:shd w:val="clear" w:color="auto" w:fill="FFFFFF"/>
        </w:rPr>
        <w:t>一般公共预算财政拨款支出主要</w:t>
      </w:r>
      <w:r>
        <w:rPr>
          <w:rFonts w:hint="eastAsia" w:ascii="方正仿宋_GBK" w:hAnsi="方正仿宋_GBK" w:eastAsia="方正仿宋_GBK" w:cs="方正仿宋_GBK"/>
          <w:sz w:val="32"/>
          <w:szCs w:val="32"/>
          <w:highlight w:val="none"/>
          <w:shd w:val="clear" w:color="auto" w:fill="FFFFFF"/>
          <w:lang w:eastAsia="zh-CN"/>
        </w:rPr>
        <w:t>用途如下</w:t>
      </w:r>
      <w:r>
        <w:rPr>
          <w:rFonts w:ascii="方正仿宋_GBK" w:hAnsi="方正仿宋_GBK" w:eastAsia="方正仿宋_GBK" w:cs="方正仿宋_GBK"/>
          <w:sz w:val="32"/>
          <w:szCs w:val="32"/>
          <w:highlight w:val="none"/>
          <w:shd w:val="clear" w:color="auto" w:fill="FFFFFF"/>
        </w:rPr>
        <w:t>：</w:t>
      </w:r>
    </w:p>
    <w:p>
      <w:pPr>
        <w:pStyle w:val="8"/>
        <w:keepNext w:val="0"/>
        <w:keepLines w:val="0"/>
        <w:pageBreakBefore w:val="0"/>
        <w:widowControl/>
        <w:numPr>
          <w:ilvl w:val="0"/>
          <w:numId w:val="1"/>
        </w:numPr>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Style w:val="10"/>
          <w:rFonts w:hint="default" w:ascii="Times New Roman" w:hAnsi="Times New Roman" w:eastAsia="方正仿宋_GBK" w:cs="Times New Roman"/>
          <w:b w:val="0"/>
          <w:bCs/>
          <w:sz w:val="32"/>
          <w:szCs w:val="32"/>
          <w:shd w:val="clear" w:color="auto" w:fill="FFFFFF"/>
          <w:lang w:eastAsia="zh-CN"/>
        </w:rPr>
      </w:pPr>
      <w:r>
        <w:rPr>
          <w:rFonts w:hint="default" w:ascii="Times New Roman" w:hAnsi="Times New Roman" w:eastAsia="方正仿宋_GBK" w:cs="Times New Roman"/>
          <w:sz w:val="32"/>
          <w:szCs w:val="32"/>
          <w:shd w:val="clear" w:color="auto" w:fill="FFFFFF"/>
        </w:rPr>
        <w:t>社会保障</w:t>
      </w:r>
      <w:r>
        <w:rPr>
          <w:rFonts w:hint="default" w:ascii="Times New Roman" w:hAnsi="Times New Roman" w:eastAsia="方正仿宋_GBK" w:cs="Times New Roman"/>
          <w:sz w:val="32"/>
          <w:szCs w:val="32"/>
          <w:shd w:val="clear" w:color="auto" w:fill="FFFFFF"/>
          <w:lang w:eastAsia="zh-CN"/>
        </w:rPr>
        <w:t>和</w:t>
      </w:r>
      <w:r>
        <w:rPr>
          <w:rFonts w:hint="default" w:ascii="Times New Roman" w:hAnsi="Times New Roman" w:eastAsia="方正仿宋_GBK" w:cs="Times New Roman"/>
          <w:sz w:val="32"/>
          <w:szCs w:val="32"/>
          <w:shd w:val="clear" w:color="auto" w:fill="FFFFFF"/>
        </w:rPr>
        <w:t>就业支出3.72万元，占15.7%，较年初预算数增加1.19万元，增长47.0%，</w:t>
      </w:r>
      <w:r>
        <w:rPr>
          <w:rStyle w:val="10"/>
          <w:rFonts w:hint="default" w:ascii="Times New Roman" w:hAnsi="Times New Roman" w:eastAsia="方正仿宋_GBK" w:cs="Times New Roman"/>
          <w:b w:val="0"/>
          <w:bCs/>
          <w:sz w:val="32"/>
          <w:szCs w:val="32"/>
          <w:shd w:val="clear" w:color="auto" w:fill="FFFFFF"/>
        </w:rPr>
        <w:t>主要原因是</w:t>
      </w:r>
      <w:r>
        <w:rPr>
          <w:rStyle w:val="10"/>
          <w:rFonts w:hint="default" w:ascii="Times New Roman" w:hAnsi="Times New Roman" w:eastAsia="方正仿宋_GBK" w:cs="Times New Roman"/>
          <w:b w:val="0"/>
          <w:bCs/>
          <w:sz w:val="32"/>
          <w:szCs w:val="32"/>
          <w:shd w:val="clear" w:color="auto" w:fill="FFFFFF"/>
          <w:lang w:eastAsia="zh-CN"/>
        </w:rPr>
        <w:t>社保基数每年有调整，本单位支出来源于财政实际拨款。</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lang w:val="en-US" w:eastAsia="zh-CN"/>
        </w:rPr>
        <w:t>2</w:t>
      </w:r>
      <w:r>
        <w:rPr>
          <w:rFonts w:hint="default" w:ascii="Times New Roman" w:hAnsi="Times New Roman" w:eastAsia="方正仿宋_GBK" w:cs="Times New Roman"/>
          <w:sz w:val="32"/>
          <w:szCs w:val="32"/>
          <w:shd w:val="clear" w:color="auto" w:fill="FFFFFF"/>
        </w:rPr>
        <w:t>）卫生健康支出18.69万元，占78.9%，较年初预算数减少1.01万元，下降5.1%，</w:t>
      </w:r>
      <w:r>
        <w:rPr>
          <w:rStyle w:val="10"/>
          <w:rFonts w:hint="default" w:ascii="Times New Roman" w:hAnsi="Times New Roman" w:eastAsia="方正仿宋_GBK" w:cs="Times New Roman"/>
          <w:b w:val="0"/>
          <w:bCs/>
          <w:sz w:val="32"/>
          <w:szCs w:val="32"/>
          <w:shd w:val="clear" w:color="auto" w:fill="FFFFFF"/>
        </w:rPr>
        <w:t>主要原因是</w:t>
      </w:r>
      <w:r>
        <w:rPr>
          <w:rStyle w:val="10"/>
          <w:rFonts w:hint="default" w:ascii="Times New Roman" w:hAnsi="Times New Roman" w:eastAsia="方正仿宋_GBK" w:cs="Times New Roman"/>
          <w:b w:val="0"/>
          <w:bCs/>
          <w:sz w:val="32"/>
          <w:szCs w:val="32"/>
          <w:shd w:val="clear" w:color="auto" w:fill="FFFFFF"/>
          <w:lang w:eastAsia="zh-CN"/>
        </w:rPr>
        <w:t>本单位支出来源于财政实际拨款。</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color w:val="FF0000"/>
          <w:sz w:val="32"/>
          <w:szCs w:val="32"/>
          <w:shd w:val="clear" w:color="auto" w:fill="FFFFFF"/>
        </w:rPr>
      </w:pPr>
      <w:r>
        <w:rPr>
          <w:rFonts w:ascii="方正仿宋_GBK" w:hAnsi="方正仿宋_GBK" w:eastAsia="方正仿宋_GBK" w:cs="方正仿宋_GBK"/>
          <w:sz w:val="32"/>
          <w:szCs w:val="32"/>
          <w:shd w:val="clear" w:color="auto" w:fill="FFFFFF"/>
        </w:rPr>
        <w:t>（</w:t>
      </w:r>
      <w:r>
        <w:rPr>
          <w:rFonts w:hint="eastAsia" w:ascii="Times New Roman" w:hAnsi="Times New Roman" w:eastAsia="方正仿宋_GBK"/>
          <w:sz w:val="32"/>
          <w:szCs w:val="32"/>
          <w:shd w:val="clear" w:color="auto" w:fill="FFFFFF"/>
          <w:lang w:val="en-US" w:eastAsia="zh-CN"/>
        </w:rPr>
        <w:t>3</w:t>
      </w:r>
      <w:r>
        <w:rPr>
          <w:rFonts w:ascii="方正仿宋_GBK" w:hAnsi="方正仿宋_GBK" w:eastAsia="方正仿宋_GBK" w:cs="方正仿宋_GBK"/>
          <w:sz w:val="32"/>
          <w:szCs w:val="32"/>
          <w:shd w:val="clear" w:color="auto" w:fill="FFFFFF"/>
        </w:rPr>
        <w:t>）</w:t>
      </w:r>
      <w:r>
        <w:rPr>
          <w:rFonts w:ascii="方正仿宋_GBK" w:hAnsi="方正仿宋_GBK" w:eastAsia="方正仿宋_GBK" w:cs="方正仿宋_GBK"/>
          <w:sz w:val="32"/>
          <w:szCs w:val="32"/>
        </w:rPr>
        <w:t>住房保障支出</w:t>
      </w:r>
      <w:r>
        <w:rPr>
          <w:rFonts w:hint="default" w:ascii="Times New Roman" w:hAnsi="Times New Roman" w:eastAsia="方正仿宋_GBK"/>
          <w:sz w:val="32"/>
          <w:szCs w:val="32"/>
          <w:shd w:val="clear" w:color="auto" w:fill="FFFFFF"/>
        </w:rPr>
        <w:t>1.26</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5.3%</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sz w:val="32"/>
          <w:szCs w:val="32"/>
          <w:shd w:val="clear" w:color="auto" w:fill="FFFFFF"/>
        </w:rPr>
        <w:t>较年初预算数无增减</w:t>
      </w:r>
      <w:r>
        <w:rPr>
          <w:rFonts w:ascii="方正仿宋_GBK" w:hAnsi="方正仿宋_GBK" w:eastAsia="方正仿宋_GBK" w:cs="方正仿宋_GBK"/>
          <w:sz w:val="32"/>
          <w:szCs w:val="32"/>
          <w:shd w:val="clear" w:color="auto" w:fill="FFFFFF"/>
        </w:rPr>
        <w:t>，</w:t>
      </w:r>
      <w:r>
        <w:rPr>
          <w:rStyle w:val="10"/>
          <w:rFonts w:hint="default" w:ascii="Times New Roman" w:hAnsi="Times New Roman" w:eastAsia="方正仿宋_GBK" w:cs="Times New Roman"/>
          <w:b w:val="0"/>
          <w:bCs/>
          <w:sz w:val="32"/>
          <w:szCs w:val="32"/>
          <w:shd w:val="clear" w:color="auto" w:fill="FFFFFF"/>
        </w:rPr>
        <w:t>主要原因是</w:t>
      </w:r>
      <w:r>
        <w:rPr>
          <w:rStyle w:val="10"/>
          <w:rFonts w:hint="eastAsia" w:ascii="Times New Roman" w:hAnsi="Times New Roman" w:eastAsia="方正仿宋_GBK" w:cs="Times New Roman"/>
          <w:b w:val="0"/>
          <w:bCs/>
          <w:sz w:val="32"/>
          <w:szCs w:val="32"/>
          <w:shd w:val="clear" w:color="auto" w:fill="FFFFFF"/>
          <w:lang w:eastAsia="zh-CN"/>
        </w:rPr>
        <w:t>决算与预算一致</w:t>
      </w:r>
      <w:r>
        <w:rPr>
          <w:rStyle w:val="10"/>
          <w:rFonts w:hint="default" w:ascii="Times New Roman" w:hAnsi="Times New Roman" w:eastAsia="方正仿宋_GBK" w:cs="Times New Roman"/>
          <w:b w:val="0"/>
          <w:bCs/>
          <w:sz w:val="32"/>
          <w:szCs w:val="32"/>
          <w:shd w:val="clear" w:color="auto" w:fill="FFFFFF"/>
          <w:lang w:eastAsia="zh-CN"/>
        </w:rPr>
        <w:t>。</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color w:val="FF0000"/>
          <w:sz w:val="32"/>
          <w:szCs w:val="32"/>
          <w:shd w:val="clear" w:color="auto" w:fill="FFFFFF"/>
        </w:rPr>
      </w:pPr>
      <w:r>
        <w:rPr>
          <w:rStyle w:val="10"/>
          <w:rFonts w:hint="default" w:ascii="Times New Roman" w:hAnsi="Times New Roman" w:eastAsia="方正仿宋_GBK"/>
          <w:b w:val="0"/>
          <w:bCs/>
          <w:sz w:val="32"/>
          <w:szCs w:val="32"/>
          <w:shd w:val="clear" w:color="auto" w:fill="FFFFFF"/>
        </w:rPr>
        <w:t>3</w:t>
      </w:r>
      <w:r>
        <w:rPr>
          <w:rStyle w:val="10"/>
          <w:rFonts w:ascii="方正仿宋_GBK" w:hAnsi="方正仿宋_GBK" w:eastAsia="方正仿宋_GBK" w:cs="方正仿宋_GBK"/>
          <w:b w:val="0"/>
          <w:bCs/>
          <w:sz w:val="32"/>
          <w:szCs w:val="32"/>
          <w:shd w:val="clear" w:color="auto" w:fill="FFFFFF"/>
        </w:rPr>
        <w:t>.结转结余情况。</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年度年末一般公共预算财政拨款结转和结余</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与2023年度相比，无增减</w:t>
      </w:r>
      <w:r>
        <w:rPr>
          <w:rFonts w:ascii="方正仿宋_GBK" w:hAnsi="方正仿宋_GBK" w:eastAsia="方正仿宋_GBK" w:cs="方正仿宋_GBK"/>
          <w:sz w:val="32"/>
          <w:szCs w:val="32"/>
          <w:shd w:val="clear" w:color="auto" w:fill="FFFFFF"/>
        </w:rPr>
        <w:t>，主要原因是</w:t>
      </w:r>
      <w:r>
        <w:rPr>
          <w:rFonts w:hint="eastAsia" w:ascii="Times New Roman" w:hAnsi="Times New Roman" w:eastAsia="方正仿宋_GBK" w:cs="Times New Roman"/>
          <w:sz w:val="32"/>
          <w:szCs w:val="32"/>
          <w:shd w:val="clear" w:color="auto" w:fill="FFFFFF"/>
          <w:lang w:eastAsia="zh-CN"/>
        </w:rPr>
        <w:t>年末收支平衡，无结余。</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val="0"/>
          <w:color w:val="auto"/>
          <w:sz w:val="32"/>
          <w:szCs w:val="32"/>
          <w:highlight w:val="none"/>
          <w:shd w:val="clear" w:color="auto" w:fill="FFFFFF"/>
        </w:rPr>
      </w:pPr>
      <w:r>
        <w:rPr>
          <w:rFonts w:hint="eastAsia" w:ascii="方正楷体_GBK" w:hAnsi="方正楷体_GBK" w:eastAsia="方正楷体_GBK" w:cs="方正楷体_GBK"/>
          <w:b w:val="0"/>
          <w:bCs w:val="0"/>
          <w:color w:val="auto"/>
          <w:sz w:val="32"/>
          <w:szCs w:val="32"/>
          <w:highlight w:val="none"/>
          <w:shd w:val="clear" w:color="auto" w:fill="FFFFFF"/>
        </w:rPr>
        <w:t>（四）一般公共预算财政拨款基本支出决算情况说明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方正仿宋_GBK" w:hAnsi="方正仿宋_GBK" w:eastAsia="方正仿宋_GBK" w:cs="方正仿宋_GBK"/>
          <w:color w:val="auto"/>
          <w:sz w:val="32"/>
          <w:szCs w:val="32"/>
          <w:highlight w:val="none"/>
          <w:shd w:val="clear" w:color="auto" w:fill="FFFFFF"/>
        </w:rPr>
      </w:pPr>
      <w:r>
        <w:rPr>
          <w:rFonts w:hint="default" w:ascii="Times New Roman" w:hAnsi="Times New Roman" w:eastAsia="方正仿宋_GBK"/>
          <w:color w:val="auto"/>
          <w:sz w:val="32"/>
          <w:szCs w:val="32"/>
          <w:highlight w:val="none"/>
          <w:shd w:val="clear" w:color="auto" w:fill="FFFFFF"/>
        </w:rPr>
        <w:t>2024</w:t>
      </w:r>
      <w:r>
        <w:rPr>
          <w:rFonts w:ascii="方正仿宋_GBK" w:hAnsi="方正仿宋_GBK" w:eastAsia="方正仿宋_GBK" w:cs="方正仿宋_GBK"/>
          <w:color w:val="auto"/>
          <w:sz w:val="32"/>
          <w:szCs w:val="32"/>
          <w:highlight w:val="none"/>
          <w:shd w:val="clear" w:color="auto" w:fill="FFFFFF"/>
        </w:rPr>
        <w:t>年度一般公共财政拨款基本支出</w:t>
      </w:r>
      <w:r>
        <w:rPr>
          <w:rFonts w:hint="default" w:ascii="Times New Roman" w:hAnsi="Times New Roman" w:eastAsia="方正仿宋_GBK"/>
          <w:color w:val="auto"/>
          <w:sz w:val="32"/>
          <w:szCs w:val="32"/>
          <w:highlight w:val="none"/>
          <w:shd w:val="clear" w:color="auto" w:fill="FFFFFF"/>
        </w:rPr>
        <w:t>23.68</w:t>
      </w:r>
      <w:r>
        <w:rPr>
          <w:rFonts w:ascii="方正仿宋_GBK" w:hAnsi="方正仿宋_GBK" w:eastAsia="方正仿宋_GBK" w:cs="方正仿宋_GBK"/>
          <w:color w:val="auto"/>
          <w:sz w:val="32"/>
          <w:szCs w:val="32"/>
          <w:highlight w:val="none"/>
          <w:shd w:val="clear" w:color="auto" w:fill="FFFFFF"/>
        </w:rPr>
        <w:t>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both"/>
        <w:textAlignment w:val="auto"/>
        <w:outlineLvl w:val="9"/>
        <w:rPr>
          <w:rFonts w:ascii="方正仿宋_GBK" w:hAnsi="方正仿宋_GBK" w:eastAsia="方正仿宋_GBK" w:cs="方正仿宋_GBK"/>
          <w:color w:val="auto"/>
          <w:sz w:val="32"/>
          <w:szCs w:val="32"/>
          <w:highlight w:val="none"/>
          <w:shd w:val="clear" w:color="auto" w:fill="FFFFFF"/>
        </w:rPr>
      </w:pPr>
      <w:r>
        <w:rPr>
          <w:rFonts w:ascii="方正仿宋_GBK" w:hAnsi="方正仿宋_GBK" w:eastAsia="方正仿宋_GBK" w:cs="方正仿宋_GBK"/>
          <w:color w:val="auto"/>
          <w:sz w:val="32"/>
          <w:szCs w:val="32"/>
          <w:highlight w:val="none"/>
          <w:shd w:val="clear" w:color="auto" w:fill="FFFFFF"/>
        </w:rPr>
        <w:t>其中：</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color w:val="auto"/>
          <w:sz w:val="32"/>
          <w:szCs w:val="32"/>
          <w:highlight w:val="none"/>
          <w:shd w:val="clear" w:color="auto" w:fill="FFFFFF"/>
          <w:lang w:eastAsia="zh-CN"/>
        </w:rPr>
      </w:pPr>
      <w:r>
        <w:rPr>
          <w:rFonts w:ascii="方正仿宋_GBK" w:hAnsi="方正仿宋_GBK" w:eastAsia="方正仿宋_GBK" w:cs="方正仿宋_GBK"/>
          <w:color w:val="auto"/>
          <w:sz w:val="32"/>
          <w:szCs w:val="32"/>
          <w:highlight w:val="none"/>
          <w:shd w:val="clear" w:color="auto" w:fill="FFFFFF"/>
        </w:rPr>
        <w:t>人员经费</w:t>
      </w:r>
      <w:r>
        <w:rPr>
          <w:rFonts w:hint="default" w:ascii="Times New Roman" w:hAnsi="Times New Roman" w:eastAsia="方正仿宋_GBK"/>
          <w:color w:val="auto"/>
          <w:sz w:val="32"/>
          <w:szCs w:val="32"/>
          <w:highlight w:val="none"/>
          <w:shd w:val="clear" w:color="auto" w:fill="FFFFFF"/>
        </w:rPr>
        <w:t>22.38</w:t>
      </w:r>
      <w:r>
        <w:rPr>
          <w:rFonts w:ascii="方正仿宋_GBK" w:hAnsi="方正仿宋_GBK" w:eastAsia="方正仿宋_GBK" w:cs="方正仿宋_GBK"/>
          <w:color w:val="auto"/>
          <w:sz w:val="32"/>
          <w:szCs w:val="32"/>
          <w:highlight w:val="none"/>
          <w:shd w:val="clear" w:color="auto" w:fill="FFFFFF"/>
        </w:rPr>
        <w:t>万元，</w:t>
      </w:r>
      <w:r>
        <w:rPr>
          <w:rFonts w:hint="default" w:ascii="Times New Roman" w:hAnsi="Times New Roman" w:eastAsia="方正仿宋_GBK"/>
          <w:color w:val="auto"/>
          <w:sz w:val="32"/>
          <w:szCs w:val="32"/>
          <w:highlight w:val="none"/>
          <w:shd w:val="clear" w:color="auto" w:fill="FFFFFF"/>
        </w:rPr>
        <w:t>与2023年度相比，减少3.55万元，下降13.7%</w:t>
      </w:r>
      <w:r>
        <w:rPr>
          <w:rFonts w:ascii="方正仿宋_GBK" w:hAnsi="方正仿宋_GBK" w:eastAsia="方正仿宋_GBK" w:cs="方正仿宋_GBK"/>
          <w:color w:val="auto"/>
          <w:sz w:val="32"/>
          <w:szCs w:val="32"/>
          <w:highlight w:val="none"/>
          <w:shd w:val="clear" w:color="auto" w:fill="FFFFFF"/>
        </w:rPr>
        <w:t>，主要原因</w:t>
      </w:r>
      <w:r>
        <w:rPr>
          <w:rFonts w:hint="default" w:ascii="Times New Roman" w:hAnsi="Times New Roman" w:eastAsia="方正仿宋_GBK"/>
          <w:color w:val="auto"/>
          <w:sz w:val="32"/>
          <w:szCs w:val="32"/>
          <w:highlight w:val="none"/>
          <w:shd w:val="clear" w:color="auto" w:fill="FFFFFF"/>
        </w:rPr>
        <w:t>是</w:t>
      </w:r>
      <w:r>
        <w:rPr>
          <w:rFonts w:hint="eastAsia" w:ascii="Times New Roman" w:hAnsi="Times New Roman" w:eastAsia="方正仿宋_GBK"/>
          <w:color w:val="auto"/>
          <w:sz w:val="32"/>
          <w:szCs w:val="32"/>
          <w:highlight w:val="none"/>
          <w:shd w:val="clear" w:color="auto" w:fill="FFFFFF"/>
          <w:lang w:eastAsia="zh-CN"/>
        </w:rPr>
        <w:t>本年度人员减少</w:t>
      </w:r>
      <w:r>
        <w:rPr>
          <w:rFonts w:hint="eastAsia" w:ascii="Times New Roman" w:hAnsi="Times New Roman" w:eastAsia="方正仿宋_GBK"/>
          <w:color w:val="auto"/>
          <w:sz w:val="32"/>
          <w:szCs w:val="32"/>
          <w:highlight w:val="none"/>
          <w:shd w:val="clear" w:color="auto" w:fill="FFFFFF"/>
          <w:lang w:val="en-US" w:eastAsia="zh-CN"/>
        </w:rPr>
        <w:t>1人。</w:t>
      </w:r>
      <w:r>
        <w:rPr>
          <w:rFonts w:ascii="方正仿宋_GBK" w:hAnsi="方正仿宋_GBK" w:eastAsia="方正仿宋_GBK" w:cs="方正仿宋_GBK"/>
          <w:color w:val="auto"/>
          <w:sz w:val="32"/>
          <w:szCs w:val="32"/>
          <w:highlight w:val="none"/>
          <w:shd w:val="clear" w:color="auto" w:fill="FFFFFF"/>
        </w:rPr>
        <w:t>人员经费用途主要包括</w:t>
      </w:r>
      <w:r>
        <w:rPr>
          <w:rFonts w:hint="eastAsia" w:ascii="方正仿宋_GBK" w:hAnsi="方正仿宋_GBK" w:eastAsia="方正仿宋_GBK" w:cs="方正仿宋_GBK"/>
          <w:color w:val="auto"/>
          <w:sz w:val="32"/>
          <w:szCs w:val="32"/>
          <w:highlight w:val="none"/>
          <w:shd w:val="clear" w:color="auto" w:fill="FFFFFF"/>
          <w:lang w:eastAsia="zh-CN"/>
        </w:rPr>
        <w:t>基本工资、绩效工资、津贴补贴、社会保障等。</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color w:val="auto"/>
          <w:sz w:val="32"/>
          <w:szCs w:val="32"/>
          <w:highlight w:val="none"/>
          <w:lang w:eastAsia="zh-CN"/>
        </w:rPr>
      </w:pPr>
      <w:r>
        <w:rPr>
          <w:rFonts w:ascii="方正仿宋_GBK" w:hAnsi="方正仿宋_GBK" w:eastAsia="方正仿宋_GBK" w:cs="方正仿宋_GBK"/>
          <w:color w:val="auto"/>
          <w:sz w:val="32"/>
          <w:szCs w:val="32"/>
          <w:highlight w:val="none"/>
          <w:shd w:val="clear" w:color="auto" w:fill="FFFFFF"/>
        </w:rPr>
        <w:t>公用经费</w:t>
      </w:r>
      <w:r>
        <w:rPr>
          <w:rFonts w:hint="default" w:ascii="Times New Roman" w:hAnsi="Times New Roman" w:eastAsia="方正仿宋_GBK"/>
          <w:color w:val="auto"/>
          <w:sz w:val="32"/>
          <w:szCs w:val="32"/>
          <w:highlight w:val="none"/>
          <w:shd w:val="clear" w:color="auto" w:fill="FFFFFF"/>
        </w:rPr>
        <w:t>1.30</w:t>
      </w:r>
      <w:r>
        <w:rPr>
          <w:rFonts w:ascii="方正仿宋_GBK" w:hAnsi="方正仿宋_GBK" w:eastAsia="方正仿宋_GBK" w:cs="方正仿宋_GBK"/>
          <w:color w:val="auto"/>
          <w:sz w:val="32"/>
          <w:szCs w:val="32"/>
          <w:highlight w:val="none"/>
          <w:shd w:val="clear" w:color="auto" w:fill="FFFFFF"/>
        </w:rPr>
        <w:t>万元，</w:t>
      </w:r>
      <w:r>
        <w:rPr>
          <w:rFonts w:hint="default" w:ascii="Times New Roman" w:hAnsi="Times New Roman" w:eastAsia="方正仿宋_GBK"/>
          <w:color w:val="auto"/>
          <w:sz w:val="32"/>
          <w:szCs w:val="32"/>
          <w:highlight w:val="none"/>
          <w:shd w:val="clear" w:color="auto" w:fill="FFFFFF"/>
        </w:rPr>
        <w:t>与2023年度相比，减少1.66万元，下降56.1%</w:t>
      </w:r>
      <w:r>
        <w:rPr>
          <w:rFonts w:ascii="方正仿宋_GBK" w:hAnsi="方正仿宋_GBK" w:eastAsia="方正仿宋_GBK" w:cs="方正仿宋_GBK"/>
          <w:color w:val="auto"/>
          <w:sz w:val="32"/>
          <w:szCs w:val="32"/>
          <w:highlight w:val="none"/>
          <w:shd w:val="clear" w:color="auto" w:fill="FFFFFF"/>
        </w:rPr>
        <w:t>，主要原因是</w:t>
      </w:r>
      <w:r>
        <w:rPr>
          <w:rFonts w:hint="eastAsia" w:ascii="方正仿宋_GBK" w:hAnsi="方正仿宋_GBK" w:eastAsia="方正仿宋_GBK" w:cs="方正仿宋_GBK"/>
          <w:color w:val="auto"/>
          <w:sz w:val="32"/>
          <w:szCs w:val="32"/>
          <w:highlight w:val="none"/>
          <w:shd w:val="clear" w:color="auto" w:fill="FFFFFF"/>
          <w:lang w:eastAsia="zh-CN"/>
        </w:rPr>
        <w:t>办公费减少。</w:t>
      </w:r>
      <w:r>
        <w:rPr>
          <w:rFonts w:ascii="方正仿宋_GBK" w:hAnsi="方正仿宋_GBK" w:eastAsia="方正仿宋_GBK" w:cs="方正仿宋_GBK"/>
          <w:color w:val="auto"/>
          <w:sz w:val="32"/>
          <w:szCs w:val="32"/>
          <w:highlight w:val="none"/>
          <w:shd w:val="clear" w:color="auto" w:fill="FFFFFF"/>
        </w:rPr>
        <w:t>公用经费用途主要包括</w:t>
      </w:r>
      <w:r>
        <w:rPr>
          <w:rFonts w:hint="eastAsia" w:ascii="方正仿宋_GBK" w:hAnsi="方正仿宋_GBK" w:eastAsia="方正仿宋_GBK" w:cs="方正仿宋_GBK"/>
          <w:color w:val="auto"/>
          <w:sz w:val="32"/>
          <w:szCs w:val="32"/>
          <w:highlight w:val="none"/>
          <w:shd w:val="clear" w:color="auto" w:fill="FFFFFF"/>
          <w:lang w:eastAsia="zh-CN"/>
        </w:rPr>
        <w:t>办公费、水费、电费、差旅费等。</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val="0"/>
          <w:color w:val="auto"/>
          <w:sz w:val="32"/>
          <w:szCs w:val="32"/>
          <w:highlight w:val="none"/>
          <w:shd w:val="clear" w:color="auto" w:fill="FFFFFF"/>
        </w:rPr>
      </w:pPr>
      <w:r>
        <w:rPr>
          <w:rFonts w:hint="eastAsia" w:ascii="方正楷体_GBK" w:hAnsi="方正楷体_GBK" w:eastAsia="方正楷体_GBK" w:cs="方正楷体_GBK"/>
          <w:b w:val="0"/>
          <w:bCs w:val="0"/>
          <w:color w:val="auto"/>
          <w:sz w:val="32"/>
          <w:szCs w:val="32"/>
          <w:highlight w:val="none"/>
          <w:shd w:val="clear" w:color="auto" w:fill="FFFFFF"/>
        </w:rPr>
        <w:t>（五）政府性基金预算收支决算情况说明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Fonts w:hint="default" w:ascii="Times New Roman" w:hAnsi="Times New Roman" w:eastAsia="方正仿宋_GBK" w:cs="Times New Roman"/>
          <w:color w:val="auto"/>
          <w:sz w:val="32"/>
          <w:szCs w:val="32"/>
          <w:highlight w:val="none"/>
          <w:shd w:val="clear" w:color="auto" w:fill="FFFFFF"/>
        </w:rPr>
        <w:t>本</w:t>
      </w:r>
      <w:r>
        <w:rPr>
          <w:rFonts w:hint="default" w:ascii="Times New Roman" w:hAnsi="Times New Roman" w:eastAsia="方正仿宋_GBK" w:cs="Times New Roman"/>
          <w:color w:val="auto"/>
          <w:sz w:val="32"/>
          <w:szCs w:val="32"/>
          <w:highlight w:val="none"/>
          <w:shd w:val="clear" w:color="auto" w:fill="FFFFFF"/>
          <w:lang w:eastAsia="zh-CN"/>
        </w:rPr>
        <w:t>单位</w:t>
      </w:r>
      <w:r>
        <w:rPr>
          <w:rFonts w:hint="default" w:ascii="Times New Roman" w:hAnsi="Times New Roman" w:eastAsia="方正仿宋_GBK" w:cs="Times New Roman"/>
          <w:color w:val="auto"/>
          <w:sz w:val="32"/>
          <w:szCs w:val="32"/>
          <w:highlight w:val="none"/>
          <w:shd w:val="clear" w:color="auto" w:fill="FFFFFF"/>
        </w:rPr>
        <w:t>2024年度无政府性基金预算财政拨款收支。</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val="0"/>
          <w:color w:val="auto"/>
          <w:sz w:val="32"/>
          <w:szCs w:val="32"/>
          <w:highlight w:val="none"/>
          <w:shd w:val="clear" w:color="auto" w:fill="FFFFFF"/>
        </w:rPr>
      </w:pPr>
      <w:r>
        <w:rPr>
          <w:rFonts w:hint="eastAsia" w:ascii="方正楷体_GBK" w:hAnsi="方正楷体_GBK" w:eastAsia="方正楷体_GBK" w:cs="方正楷体_GBK"/>
          <w:b w:val="0"/>
          <w:bCs w:val="0"/>
          <w:color w:val="auto"/>
          <w:sz w:val="32"/>
          <w:szCs w:val="32"/>
          <w:highlight w:val="none"/>
          <w:shd w:val="clear" w:color="auto" w:fill="FFFFFF"/>
        </w:rPr>
        <w:t>（六）国有资本经营预算财政拨款支出决算情况说明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Fonts w:hint="default" w:ascii="Times New Roman" w:hAnsi="Times New Roman" w:eastAsia="方正仿宋_GBK" w:cs="Times New Roman"/>
          <w:color w:val="auto"/>
          <w:sz w:val="32"/>
          <w:szCs w:val="32"/>
          <w:highlight w:val="none"/>
          <w:shd w:val="clear" w:color="auto" w:fill="FFFFFF"/>
        </w:rPr>
        <w:t>本</w:t>
      </w:r>
      <w:r>
        <w:rPr>
          <w:rFonts w:hint="eastAsia" w:ascii="Times New Roman" w:hAnsi="Times New Roman" w:eastAsia="方正仿宋_GBK" w:cs="Times New Roman"/>
          <w:color w:val="auto"/>
          <w:sz w:val="32"/>
          <w:szCs w:val="32"/>
          <w:highlight w:val="none"/>
          <w:shd w:val="clear" w:color="auto" w:fill="FFFFFF"/>
          <w:lang w:eastAsia="zh-CN"/>
        </w:rPr>
        <w:t>单位</w:t>
      </w:r>
      <w:r>
        <w:rPr>
          <w:rFonts w:hint="default" w:ascii="Times New Roman" w:hAnsi="Times New Roman" w:eastAsia="方正仿宋_GBK" w:cs="Times New Roman"/>
          <w:color w:val="auto"/>
          <w:sz w:val="32"/>
          <w:szCs w:val="32"/>
          <w:highlight w:val="none"/>
          <w:shd w:val="clear" w:color="auto" w:fill="FFFFFF"/>
        </w:rPr>
        <w:t>2024年度无国有资本经营预算财政拨款支出。</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eastAsia"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三、</w:t>
      </w:r>
      <w:r>
        <w:rPr>
          <w:rStyle w:val="10"/>
          <w:rFonts w:hint="eastAsia" w:ascii="方正黑体_GBK" w:hAnsi="方正黑体_GBK" w:eastAsia="方正黑体_GBK" w:cs="方正黑体_GBK"/>
          <w:b w:val="0"/>
          <w:bCs/>
          <w:sz w:val="32"/>
          <w:szCs w:val="32"/>
          <w:shd w:val="clear" w:color="auto" w:fill="FFFFFF"/>
          <w:lang w:eastAsia="zh-CN"/>
        </w:rPr>
        <w:t>财政拨款</w:t>
      </w:r>
      <w:r>
        <w:rPr>
          <w:rStyle w:val="10"/>
          <w:rFonts w:hint="eastAsia" w:ascii="方正黑体_GBK" w:hAnsi="方正黑体_GBK" w:eastAsia="方正黑体_GBK" w:cs="方正黑体_GBK"/>
          <w:b w:val="0"/>
          <w:bCs/>
          <w:sz w:val="32"/>
          <w:szCs w:val="32"/>
          <w:shd w:val="clear" w:color="auto" w:fill="FFFFFF"/>
        </w:rPr>
        <w:t>“三公”经费情况说明</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（一）“三公”经费支出总体情况说明</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b w:val="0"/>
          <w:bCs/>
          <w:sz w:val="32"/>
          <w:szCs w:val="32"/>
          <w:shd w:val="clear" w:color="auto" w:fill="FFFFFF"/>
          <w:lang w:eastAsia="zh-CN"/>
        </w:rPr>
      </w:pPr>
      <w:r>
        <w:rPr>
          <w:rFonts w:hint="default" w:ascii="Times New Roman" w:hAnsi="Times New Roman" w:eastAsia="方正仿宋_GBK" w:cs="Times New Roman"/>
          <w:b w:val="0"/>
          <w:bCs/>
          <w:sz w:val="32"/>
          <w:szCs w:val="32"/>
          <w:shd w:val="clear" w:color="auto" w:fill="FFFFFF"/>
          <w:lang w:eastAsia="zh-CN"/>
        </w:rPr>
        <w:t>本单位为委属代管单位，</w:t>
      </w:r>
      <w:r>
        <w:rPr>
          <w:rFonts w:hint="eastAsia" w:ascii="Times New Roman" w:hAnsi="Times New Roman" w:eastAsia="方正仿宋_GBK" w:cs="Times New Roman"/>
          <w:b w:val="0"/>
          <w:bCs/>
          <w:sz w:val="32"/>
          <w:szCs w:val="32"/>
          <w:shd w:val="clear" w:color="auto" w:fill="FFFFFF"/>
          <w:lang w:eastAsia="zh-CN"/>
        </w:rPr>
        <w:t>未使用财政资金保障“三公经费”。</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（二）“三公”经费分项支出情况</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sz w:val="32"/>
          <w:szCs w:val="32"/>
          <w:shd w:val="clear" w:color="auto" w:fill="FFFFFF"/>
        </w:rPr>
        <w:t>202</w:t>
      </w:r>
      <w:r>
        <w:rPr>
          <w:rFonts w:hint="eastAsia"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w:t>
      </w:r>
      <w:r>
        <w:rPr>
          <w:rFonts w:hint="default" w:ascii="Times New Roman" w:hAnsi="Times New Roman" w:eastAsia="方正仿宋_GBK" w:cs="Times New Roman"/>
          <w:sz w:val="32"/>
          <w:szCs w:val="32"/>
          <w:shd w:val="clear" w:color="auto" w:fill="FFFFFF"/>
        </w:rPr>
        <w:t>因公出国（境）费用</w:t>
      </w:r>
      <w:r>
        <w:rPr>
          <w:rFonts w:hint="default" w:ascii="Times New Roman" w:hAnsi="Times New Roman" w:eastAsia="方正仿宋_GBK" w:cs="Times New Roman"/>
          <w:sz w:val="32"/>
          <w:szCs w:val="32"/>
          <w:shd w:val="clear" w:color="auto" w:fill="FFFFFF"/>
          <w:lang w:eastAsia="zh-CN"/>
        </w:rPr>
        <w:t>，</w:t>
      </w:r>
      <w:r>
        <w:rPr>
          <w:rFonts w:hint="default" w:ascii="Times New Roman" w:hAnsi="Times New Roman" w:eastAsia="方正仿宋_GBK" w:cs="Times New Roman"/>
          <w:b w:val="0"/>
          <w:bCs w:val="0"/>
          <w:sz w:val="32"/>
          <w:szCs w:val="32"/>
          <w:lang w:eastAsia="zh-CN"/>
        </w:rPr>
        <w:t>较年初预算数无增减，较上年支出数无增减。</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sz w:val="32"/>
          <w:szCs w:val="32"/>
          <w:shd w:val="clear" w:color="auto" w:fill="FFFFFF"/>
        </w:rPr>
        <w:t>202</w:t>
      </w:r>
      <w:r>
        <w:rPr>
          <w:rFonts w:hint="eastAsia"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无公务车购置费，</w:t>
      </w:r>
      <w:r>
        <w:rPr>
          <w:rFonts w:hint="default" w:ascii="Times New Roman" w:hAnsi="Times New Roman" w:eastAsia="方正仿宋_GBK" w:cs="Times New Roman"/>
          <w:b w:val="0"/>
          <w:bCs w:val="0"/>
          <w:sz w:val="32"/>
          <w:szCs w:val="32"/>
          <w:lang w:eastAsia="zh-CN"/>
        </w:rPr>
        <w:t>较年初预算数无增减，较上年支出数无增减。</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rPr>
        <w:t>202</w:t>
      </w:r>
      <w:r>
        <w:rPr>
          <w:rFonts w:hint="eastAsia"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无公务车运行维护费，</w:t>
      </w:r>
      <w:r>
        <w:rPr>
          <w:rFonts w:hint="default" w:ascii="Times New Roman" w:hAnsi="Times New Roman" w:eastAsia="方正仿宋_GBK" w:cs="Times New Roman"/>
          <w:b w:val="0"/>
          <w:bCs w:val="0"/>
          <w:sz w:val="32"/>
          <w:szCs w:val="32"/>
          <w:lang w:eastAsia="zh-CN"/>
        </w:rPr>
        <w:t>较年初预算数无增减，较上年支出数无增减。</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Fonts w:hint="default" w:ascii="Times New Roman" w:hAnsi="Times New Roman" w:eastAsia="方正仿宋_GBK" w:cs="Times New Roman"/>
          <w:sz w:val="32"/>
          <w:szCs w:val="32"/>
          <w:shd w:val="clear" w:color="auto" w:fill="FFFFFF"/>
        </w:rPr>
        <w:t>202</w:t>
      </w:r>
      <w:r>
        <w:rPr>
          <w:rFonts w:hint="eastAsia"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无公务接待费，</w:t>
      </w:r>
      <w:r>
        <w:rPr>
          <w:rFonts w:hint="default" w:ascii="Times New Roman" w:hAnsi="Times New Roman" w:eastAsia="方正仿宋_GBK" w:cs="Times New Roman"/>
          <w:b w:val="0"/>
          <w:bCs w:val="0"/>
          <w:sz w:val="32"/>
          <w:szCs w:val="32"/>
          <w:lang w:eastAsia="zh-CN"/>
        </w:rPr>
        <w:t>较年初预算数无增减，较上年支出数无增减。</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（三）“三公”经费实物量情况</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因公出国（境）共计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个团组，</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人；公务用车购置</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辆，公务车保有量为</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辆；国内公务接待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人，其中：国内外事接待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人；国（境）外公务接待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人均接待费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元，车均购置费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万元，车均维护费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万元。</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黑体_GBK" w:cs="Times New Roman"/>
          <w:b w:val="0"/>
          <w:bCs w:val="0"/>
          <w:sz w:val="32"/>
          <w:szCs w:val="32"/>
          <w:shd w:val="clear" w:color="auto" w:fill="FFFFFF"/>
        </w:rPr>
      </w:pPr>
      <w:r>
        <w:rPr>
          <w:rStyle w:val="10"/>
          <w:rFonts w:hint="default" w:ascii="Times New Roman" w:hAnsi="Times New Roman" w:eastAsia="方正黑体_GBK" w:cs="Times New Roman"/>
          <w:b w:val="0"/>
          <w:bCs w:val="0"/>
          <w:sz w:val="32"/>
          <w:szCs w:val="32"/>
          <w:shd w:val="clear" w:color="auto" w:fill="FFFFFF"/>
        </w:rPr>
        <w:t>四、其他需要说明的事项</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（一）财政拨款会议费、培训费和差旅费情况说明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shd w:val="clear" w:color="auto" w:fill="FFFFFF"/>
          <w:lang w:val="en-US" w:eastAsia="zh-CN" w:bidi="ar-SA"/>
        </w:rPr>
      </w:pPr>
      <w:r>
        <w:rPr>
          <w:rFonts w:hint="default" w:ascii="Times New Roman" w:hAnsi="Times New Roman" w:eastAsia="方正仿宋_GBK" w:cs="Times New Roman"/>
          <w:b w:val="0"/>
          <w:bCs/>
          <w:sz w:val="32"/>
          <w:szCs w:val="32"/>
          <w:shd w:val="clear" w:color="auto" w:fill="FFFFFF"/>
          <w:lang w:val="en-US" w:eastAsia="zh-CN" w:bidi="ar-SA"/>
        </w:rPr>
        <w:t>因本单位为委属代管单位，</w:t>
      </w:r>
      <w:r>
        <w:rPr>
          <w:rFonts w:hint="eastAsia" w:ascii="Times New Roman" w:hAnsi="Times New Roman" w:eastAsia="方正仿宋_GBK" w:cs="Times New Roman"/>
          <w:b w:val="0"/>
          <w:bCs/>
          <w:sz w:val="32"/>
          <w:szCs w:val="32"/>
          <w:shd w:val="clear" w:color="auto" w:fill="FFFFFF"/>
          <w:lang w:val="en-US" w:eastAsia="zh-CN" w:bidi="ar-SA"/>
        </w:rPr>
        <w:t>未使用财政资金保障</w:t>
      </w:r>
      <w:r>
        <w:rPr>
          <w:rFonts w:hint="default" w:ascii="Times New Roman" w:hAnsi="Times New Roman" w:eastAsia="方正仿宋_GBK" w:cs="Times New Roman"/>
          <w:b w:val="0"/>
          <w:bCs/>
          <w:sz w:val="32"/>
          <w:szCs w:val="32"/>
          <w:shd w:val="clear" w:color="auto" w:fill="FFFFFF"/>
          <w:lang w:val="en-US" w:eastAsia="zh-CN" w:bidi="ar-SA"/>
        </w:rPr>
        <w:t>会议费、培训费和差旅费。</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（二）机关运行经费情况说明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color w:val="FF0000"/>
          <w:sz w:val="32"/>
          <w:szCs w:val="32"/>
        </w:rPr>
      </w:pPr>
      <w:r>
        <w:rPr>
          <w:rFonts w:hint="default" w:ascii="Times New Roman" w:hAnsi="Times New Roman" w:eastAsia="方正仿宋_GBK" w:cs="Times New Roman"/>
          <w:b w:val="0"/>
          <w:bCs/>
          <w:sz w:val="32"/>
          <w:szCs w:val="32"/>
          <w:shd w:val="clear" w:color="auto" w:fill="FFFFFF"/>
        </w:rPr>
        <w:t>按照部门决算列报口径，</w:t>
      </w:r>
      <w:r>
        <w:rPr>
          <w:rFonts w:hint="eastAsia" w:ascii="Times New Roman" w:hAnsi="Times New Roman" w:eastAsia="方正仿宋_GBK" w:cs="Times New Roman"/>
          <w:b w:val="0"/>
          <w:bCs/>
          <w:sz w:val="32"/>
          <w:szCs w:val="32"/>
          <w:shd w:val="clear" w:color="auto" w:fill="FFFFFF"/>
          <w:lang w:eastAsia="zh-CN"/>
        </w:rPr>
        <w:t>本</w:t>
      </w:r>
      <w:r>
        <w:rPr>
          <w:rFonts w:hint="default" w:ascii="Times New Roman" w:hAnsi="Times New Roman" w:eastAsia="方正仿宋_GBK" w:cs="Times New Roman"/>
          <w:b w:val="0"/>
          <w:bCs/>
          <w:sz w:val="32"/>
          <w:szCs w:val="32"/>
          <w:shd w:val="clear" w:color="auto" w:fill="FFFFFF"/>
        </w:rPr>
        <w:t>单位不在机关运行经费统计范围之内。</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（三）国有资产占用情况说明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shd w:val="clear" w:color="auto" w:fill="FFFFFF"/>
        </w:rPr>
        <w:t>截至</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w:t>
      </w:r>
      <w:r>
        <w:rPr>
          <w:rFonts w:hint="default" w:ascii="Times New Roman" w:hAnsi="Times New Roman" w:eastAsia="方正仿宋_GBK"/>
          <w:sz w:val="32"/>
          <w:szCs w:val="32"/>
          <w:shd w:val="clear" w:color="auto" w:fill="FFFFFF"/>
        </w:rPr>
        <w:t>12</w:t>
      </w:r>
      <w:r>
        <w:rPr>
          <w:rFonts w:ascii="方正仿宋_GBK" w:hAnsi="方正仿宋_GBK" w:eastAsia="方正仿宋_GBK" w:cs="方正仿宋_GBK"/>
          <w:sz w:val="32"/>
          <w:szCs w:val="32"/>
          <w:shd w:val="clear" w:color="auto" w:fill="FFFFFF"/>
        </w:rPr>
        <w:t>月</w:t>
      </w:r>
      <w:r>
        <w:rPr>
          <w:rFonts w:hint="default" w:ascii="Times New Roman" w:hAnsi="Times New Roman" w:eastAsia="方正仿宋_GBK"/>
          <w:sz w:val="32"/>
          <w:szCs w:val="32"/>
          <w:shd w:val="clear" w:color="auto" w:fill="FFFFFF"/>
        </w:rPr>
        <w:t>31</w:t>
      </w:r>
      <w:r>
        <w:rPr>
          <w:rFonts w:ascii="方正仿宋_GBK" w:hAnsi="方正仿宋_GBK" w:eastAsia="方正仿宋_GBK" w:cs="方正仿宋_GBK"/>
          <w:sz w:val="32"/>
          <w:szCs w:val="32"/>
          <w:shd w:val="clear" w:color="auto" w:fill="FFFFFF"/>
        </w:rPr>
        <w:t>日，本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共有车辆</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辆，其中，副部（省）级及以上领导用车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辆、主要负责人用车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辆、机要通信用车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辆、应急保障用车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辆、执法执勤用车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辆，特种专业技术用车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辆，离退休干部用车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辆。单价</w:t>
      </w:r>
      <w:r>
        <w:rPr>
          <w:rFonts w:hint="default" w:ascii="Times New Roman" w:hAnsi="Times New Roman" w:eastAsia="方正仿宋_GBK"/>
          <w:sz w:val="32"/>
          <w:szCs w:val="32"/>
          <w:shd w:val="clear" w:color="auto" w:fill="FFFFFF"/>
        </w:rPr>
        <w:t>100</w:t>
      </w:r>
      <w:r>
        <w:rPr>
          <w:rFonts w:ascii="方正仿宋_GBK" w:hAnsi="方正仿宋_GBK" w:eastAsia="方正仿宋_GBK" w:cs="方正仿宋_GBK"/>
          <w:sz w:val="32"/>
          <w:szCs w:val="32"/>
          <w:shd w:val="clear" w:color="auto" w:fill="FFFFFF"/>
        </w:rPr>
        <w:t>万元（含）以上专用设备</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台（套）。</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（四）政府采购支出情况说明</w:t>
      </w:r>
    </w:p>
    <w:p>
      <w:pPr>
        <w:pStyle w:val="8"/>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Fonts w:hint="eastAsia" w:ascii="Times New Roman" w:hAnsi="Times New Roman" w:eastAsia="方正仿宋_GBK"/>
          <w:sz w:val="32"/>
          <w:szCs w:val="32"/>
          <w:shd w:val="clear" w:color="auto" w:fill="FFFFFF"/>
          <w:lang w:eastAsia="zh-CN"/>
        </w:rPr>
      </w:pPr>
      <w:r>
        <w:rPr>
          <w:rFonts w:hint="eastAsia" w:ascii="Times New Roman" w:hAnsi="Times New Roman" w:eastAsia="方正仿宋_GBK"/>
          <w:sz w:val="32"/>
          <w:szCs w:val="32"/>
          <w:shd w:val="clear" w:color="auto" w:fill="FFFFFF"/>
          <w:lang w:val="en-US" w:eastAsia="zh-CN"/>
        </w:rPr>
        <w:t>2024年度本单位未发生</w:t>
      </w:r>
      <w:r>
        <w:rPr>
          <w:rFonts w:hint="eastAsia" w:ascii="Times New Roman" w:hAnsi="Times New Roman" w:eastAsia="方正仿宋_GBK"/>
          <w:sz w:val="32"/>
          <w:szCs w:val="32"/>
          <w:shd w:val="clear" w:color="auto" w:fill="FFFFFF"/>
          <w:lang w:eastAsia="zh-CN"/>
        </w:rPr>
        <w:t>政府采购事项，无相关经费支出。</w:t>
      </w:r>
    </w:p>
    <w:p>
      <w:pPr>
        <w:pStyle w:val="8"/>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黑体" w:hAnsi="黑体" w:eastAsia="黑体" w:cs="黑体"/>
          <w:b w:val="0"/>
          <w:bCs/>
          <w:sz w:val="32"/>
          <w:szCs w:val="32"/>
          <w:shd w:val="clear" w:color="auto" w:fill="FFFFFF"/>
        </w:rPr>
      </w:pPr>
      <w:r>
        <w:rPr>
          <w:rStyle w:val="10"/>
          <w:rFonts w:hint="eastAsia" w:ascii="黑体" w:hAnsi="黑体" w:eastAsia="黑体" w:cs="黑体"/>
          <w:b w:val="0"/>
          <w:bCs/>
          <w:sz w:val="32"/>
          <w:szCs w:val="32"/>
          <w:shd w:val="clear" w:color="auto" w:fill="FFFFFF"/>
          <w:lang w:eastAsia="zh-CN"/>
        </w:rPr>
        <w:t>五、</w:t>
      </w:r>
      <w:r>
        <w:rPr>
          <w:rStyle w:val="10"/>
          <w:rFonts w:ascii="黑体" w:hAnsi="黑体" w:eastAsia="黑体" w:cs="黑体"/>
          <w:b w:val="0"/>
          <w:bCs/>
          <w:sz w:val="32"/>
          <w:szCs w:val="32"/>
          <w:shd w:val="clear" w:color="auto" w:fill="FFFFFF"/>
        </w:rPr>
        <w:t>预算绩效管理情况说明</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（一）单位自评情况</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eastAsia" w:ascii="Times New Roman" w:hAnsi="Times New Roman" w:eastAsia="方正仿宋_GBK" w:cs="方正仿宋_GBK"/>
          <w:sz w:val="32"/>
          <w:szCs w:val="32"/>
          <w:shd w:val="clear" w:color="auto" w:fill="FFFFFF"/>
          <w:lang w:val="en-US" w:eastAsia="zh-CN" w:bidi="ar-SA"/>
        </w:rPr>
      </w:pPr>
      <w:r>
        <w:rPr>
          <w:rFonts w:hint="eastAsia" w:ascii="Times New Roman" w:hAnsi="Times New Roman" w:eastAsia="方正仿宋_GBK" w:cs="方正仿宋_GBK"/>
          <w:sz w:val="32"/>
          <w:szCs w:val="32"/>
          <w:shd w:val="clear" w:color="auto" w:fill="FFFFFF"/>
          <w:lang w:val="en-US" w:eastAsia="zh-CN" w:bidi="ar-SA"/>
        </w:rPr>
        <w:t>本单位为委属代管单位，无项目预算及支出，未开展绩效自评。</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（二）单位绩效评价情况</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ascii="方正仿宋_GBK" w:hAnsi="方正仿宋_GBK" w:eastAsia="方正仿宋_GBK" w:cs="方正仿宋_GBK"/>
          <w:b w:val="0"/>
          <w:bCs w:val="0"/>
          <w:sz w:val="32"/>
          <w:szCs w:val="32"/>
          <w:shd w:val="clear" w:color="auto" w:fill="FFFFFF"/>
        </w:rPr>
      </w:pPr>
      <w:r>
        <w:rPr>
          <w:rFonts w:hint="eastAsia" w:ascii="方正仿宋_GBK" w:hAnsi="方正仿宋_GBK" w:eastAsia="方正仿宋_GBK" w:cs="方正仿宋_GBK"/>
          <w:b w:val="0"/>
          <w:bCs w:val="0"/>
          <w:sz w:val="32"/>
          <w:szCs w:val="32"/>
          <w:shd w:val="clear" w:color="auto" w:fill="FFFFFF"/>
          <w:lang w:eastAsia="zh-CN"/>
        </w:rPr>
        <w:t>本</w:t>
      </w:r>
      <w:r>
        <w:rPr>
          <w:rFonts w:hint="eastAsia" w:ascii="方正仿宋_GBK" w:hAnsi="方正仿宋_GBK" w:eastAsia="方正仿宋_GBK" w:cs="方正仿宋_GBK"/>
          <w:b w:val="0"/>
          <w:bCs w:val="0"/>
          <w:sz w:val="32"/>
          <w:szCs w:val="32"/>
          <w:shd w:val="clear" w:color="auto" w:fill="FFFFFF"/>
        </w:rPr>
        <w:t>单位</w:t>
      </w:r>
      <w:r>
        <w:rPr>
          <w:rFonts w:hint="eastAsia" w:ascii="方正仿宋_GBK" w:hAnsi="方正仿宋_GBK" w:eastAsia="方正仿宋_GBK" w:cs="方正仿宋_GBK"/>
          <w:b w:val="0"/>
          <w:bCs w:val="0"/>
          <w:sz w:val="32"/>
          <w:szCs w:val="32"/>
          <w:shd w:val="clear" w:color="auto" w:fill="FFFFFF"/>
          <w:lang w:eastAsia="zh-CN"/>
        </w:rPr>
        <w:t>未组织开展绩效评价。</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eastAsia"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六、专业名词解释</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Fonts w:hint="eastAsia" w:ascii="方正楷体_GBK" w:hAnsi="方正楷体_GBK" w:eastAsia="方正楷体_GBK" w:cs="方正楷体_GBK"/>
          <w:b w:val="0"/>
          <w:bCs w:val="0"/>
          <w:sz w:val="32"/>
          <w:szCs w:val="32"/>
          <w:shd w:val="clear" w:color="auto" w:fill="FFFFFF"/>
        </w:rPr>
        <w:t>（一）财政拨款收入</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指本年度从本级财政部门取得的财政拨款，包括一般公共预算财政拨款和政府性基金预算财政拨款。</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（二）事业收入</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指事业单位开展专业业务活动及其辅助活动取得的现金流入；事业单位收到的财政专户实际核拨的教育收费等资金在此反映。</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（三）经营收入</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指事业单位在专业业务活动及其辅助活动之外开展非独立核算经营活动取得的现金流入。</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（四）其他收入</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（五）使用非财政拨款结余</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（六）年初结转和结余</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指单位上年结转本年使用的基本支出结转、项目支出结转和结余、经营结余。</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（七）结余分配</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指单位按照国家有关规定，缴纳所得税、提取专用基金、转入非财政拨款结余等当年结余的分配情况。</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（八）年末结转和结余</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指单位结转下年的基本支出结转、项目支出结转和结余、经营结余。</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（九）基本支出</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（十）项目支出</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指在基本支出之外为完成特定行政任务和事业发展目标所发生的支出。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（十一）经营支出</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指事业单位在专业业务活动及其辅助活动之外开展非独立核算经营活动发生的支出。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（十二）“三公”经费</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（十三）机关运行经费</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（十四）工资福利支出（支出经济分类科目类级）</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反映单位开支的在职职工和编制外长期聘用人员的各类劳动报酬，以及为上述人员缴纳的各项社会保险费等。</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（十五）商品和服务支出（支出经济分类科目类级）</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反映单位购买商品和服务的支出（不包括用于购置固定资产的支出、战略性和应急储备支出）。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（十六）对个人和家庭的补助（支出经济分类科目类级）</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反映用于对个人和家庭的补助支出。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（十七）其他资本性支出（支出经济分类科目类级）</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eastAsia"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七、决算公开联系方式及信息反馈渠道</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本单位决算公开信息反馈和联系方式：</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lang w:val="en-US"/>
        </w:rPr>
      </w:pPr>
      <w:r>
        <w:rPr>
          <w:rFonts w:hint="default" w:ascii="Times New Roman" w:hAnsi="Times New Roman" w:eastAsia="方正仿宋_GBK" w:cs="Times New Roman"/>
          <w:sz w:val="32"/>
          <w:szCs w:val="32"/>
          <w:shd w:val="clear" w:color="auto" w:fill="FFFFFF"/>
          <w:lang w:eastAsia="zh-CN"/>
        </w:rPr>
        <w:t>龚盼</w:t>
      </w:r>
      <w:r>
        <w:rPr>
          <w:rFonts w:hint="eastAsia" w:ascii="Times New Roman" w:hAnsi="Times New Roman" w:eastAsia="方正仿宋_GBK" w:cs="Times New Roman"/>
          <w:sz w:val="32"/>
          <w:szCs w:val="32"/>
          <w:shd w:val="clear" w:color="auto" w:fill="FFFFFF"/>
          <w:lang w:val="en-US" w:eastAsia="zh-CN"/>
        </w:rPr>
        <w:t xml:space="preserve"> </w:t>
      </w:r>
      <w:r>
        <w:rPr>
          <w:rFonts w:hint="default" w:ascii="Times New Roman" w:hAnsi="Times New Roman" w:eastAsia="方正仿宋_GBK" w:cs="Times New Roman"/>
          <w:sz w:val="32"/>
          <w:szCs w:val="32"/>
          <w:shd w:val="clear" w:color="auto" w:fill="FFFFFF"/>
          <w:lang w:val="en-US" w:eastAsia="zh-CN"/>
        </w:rPr>
        <w:t>023-76662083</w:t>
      </w:r>
    </w:p>
    <w:p>
      <w:pPr>
        <w:pStyle w:val="13"/>
        <w:autoSpaceDE w:val="0"/>
        <w:spacing w:line="596" w:lineRule="exact"/>
        <w:ind w:firstLine="640"/>
        <w:jc w:val="both"/>
        <w:rPr>
          <w:rStyle w:val="10"/>
          <w:rFonts w:ascii="方正仿宋_GBK" w:hAnsi="方正仿宋_GBK" w:eastAsia="方正仿宋_GBK" w:cs="方正仿宋_GBK"/>
          <w:sz w:val="32"/>
          <w:szCs w:val="32"/>
          <w:shd w:val="clear" w:color="auto" w:fill="FFFF00"/>
        </w:rPr>
        <w:sectPr>
          <w:footerReference r:id="rId3" w:type="default"/>
          <w:pgSz w:w="11915" w:h="16840"/>
          <w:pgMar w:top="1440" w:right="1800" w:bottom="1440" w:left="1800" w:header="851" w:footer="992" w:gutter="0"/>
          <w:pgNumType w:fmt="numberInDash"/>
          <w:cols w:space="720" w:num="1"/>
          <w:docGrid w:type="lines" w:linePitch="312" w:charSpace="0"/>
        </w:sectPr>
      </w:pPr>
      <w:r>
        <w:rPr>
          <w:rFonts w:hint="eastAsia" w:ascii="方正仿宋_GBK" w:hAnsi="方正仿宋_GBK" w:eastAsia="方正仿宋_GBK" w:cs="方正仿宋_GBK"/>
          <w:sz w:val="32"/>
          <w:szCs w:val="32"/>
          <w:shd w:val="clear" w:color="auto" w:fill="FFFF00"/>
        </w:rPr>
        <w:t> A不需要在本文末尾落款单位名称和时间。</w:t>
      </w:r>
    </w:p>
    <w:tbl>
      <w:tblPr>
        <w:tblStyle w:val="11"/>
        <w:tblpPr w:leftFromText="180" w:rightFromText="180" w:vertAnchor="text" w:horzAnchor="page" w:tblpX="1058" w:tblpY="22"/>
        <w:tblOverlap w:val="never"/>
        <w:tblW w:w="14737" w:type="dxa"/>
        <w:tblInd w:w="0" w:type="dxa"/>
        <w:tblLayout w:type="fixed"/>
        <w:tblCellMar>
          <w:top w:w="0" w:type="dxa"/>
          <w:left w:w="0" w:type="dxa"/>
          <w:bottom w:w="0" w:type="dxa"/>
          <w:right w:w="0" w:type="dxa"/>
        </w:tblCellMar>
      </w:tblPr>
      <w:tblGrid>
        <w:gridCol w:w="4294"/>
        <w:gridCol w:w="3558"/>
        <w:gridCol w:w="4044"/>
        <w:gridCol w:w="2841"/>
      </w:tblGrid>
      <w:tr>
        <w:tblPrEx>
          <w:tblLayout w:type="fixed"/>
          <w:tblCellMar>
            <w:top w:w="0" w:type="dxa"/>
            <w:left w:w="0" w:type="dxa"/>
            <w:bottom w:w="0" w:type="dxa"/>
            <w:right w:w="0" w:type="dxa"/>
          </w:tblCellMar>
        </w:tblPrEx>
        <w:trPr>
          <w:trHeight w:val="232" w:hRule="atLeast"/>
        </w:trPr>
        <w:tc>
          <w:tcPr>
            <w:tcW w:w="14737"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42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558"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01</w:t>
            </w:r>
            <w:r>
              <w:rPr>
                <w:rFonts w:cs="宋体"/>
                <w:color w:val="000000"/>
                <w:sz w:val="20"/>
                <w:szCs w:val="20"/>
              </w:rPr>
              <w:t>表</w:t>
            </w:r>
          </w:p>
        </w:tc>
      </w:tr>
      <w:tr>
        <w:tblPrEx>
          <w:tblLayout w:type="fixed"/>
          <w:tblCellMar>
            <w:top w:w="0" w:type="dxa"/>
            <w:left w:w="0" w:type="dxa"/>
            <w:bottom w:w="0" w:type="dxa"/>
            <w:right w:w="0" w:type="dxa"/>
          </w:tblCellMar>
        </w:tblPrEx>
        <w:trPr>
          <w:trHeight w:val="232" w:hRule="atLeast"/>
        </w:trPr>
        <w:tc>
          <w:tcPr>
            <w:tcW w:w="785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r>
              <w:rPr>
                <w:rFonts w:cs="宋体"/>
                <w:sz w:val="20"/>
                <w:szCs w:val="20"/>
              </w:rPr>
              <w:t>部门：</w:t>
            </w:r>
            <w:r>
              <w:rPr>
                <w:sz w:val="20"/>
                <w:u w:color="auto"/>
              </w:rPr>
              <w:t>秀山土家族苗族自治县红十字会</w:t>
            </w: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6885"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23.68</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一、一般公共服务支出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二、政府性基金预算财政拨款收入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二、外交支出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三、国有资本经营预算财政拨款收入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四、上级补助收入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四、公共安全支出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五、事业收入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五、教育支出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六、经营收入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六、科学技术支出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七、附属单位上缴收入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七、文化旅游体育与传媒支出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八、其他收入</w:t>
            </w:r>
          </w:p>
        </w:tc>
        <w:tc>
          <w:tcPr>
            <w:tcW w:w="3558" w:type="dxa"/>
            <w:tcBorders>
              <w:top w:val="nil"/>
              <w:left w:val="nil"/>
              <w:bottom w:val="nil"/>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八、社会保障和就业支出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3.72</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九、卫生健康支出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18.69</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十、节能环保支出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十一、城乡社区支出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十二、农林水支出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十三、交通运输支出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十四、资源勘探工业信息等支出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十五、商业服务业等支出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十六、金融支出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十七、援助其他地区支出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十八、自然资源海洋气象等支出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十九、住房保障支出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1.26</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二十、粮油物资储备支出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二十一、国有资本经营预算支出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二十二、灾害防治及应急管理支出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二十三、其他支出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二十四、债务还本支出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二十五、债务付息支出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二十六、抗疫特别国债安排的支出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本年收入合计</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23.68</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本年支出合计</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23.68</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使用非财政拨款结余和专用结余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结余分配</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年初结转和结余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年末结转和结余</w:t>
            </w:r>
          </w:p>
        </w:tc>
        <w:tc>
          <w:tcPr>
            <w:tcW w:w="2841"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23.68</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8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23.68</w:t>
            </w:r>
            <w:r>
              <w:rPr>
                <w:rFonts w:ascii="Times New Roman" w:hAnsi="Times New Roman"/>
                <w:color w:val="000000"/>
                <w:sz w:val="20"/>
                <w:u w:color="auto"/>
              </w:rPr>
              <w:t xml:space="preserve"> </w:t>
            </w:r>
          </w:p>
        </w:tc>
      </w:tr>
    </w:tbl>
    <w:p>
      <w:pPr>
        <w:rPr>
          <w:rFonts w:hint="default" w:cs="宋体"/>
          <w:sz w:val="21"/>
          <w:szCs w:val="21"/>
        </w:rPr>
      </w:pPr>
    </w:p>
    <w:p>
      <w:pPr>
        <w:spacing w:line="240" w:lineRule="exact"/>
        <w:rPr>
          <w:rFonts w:hint="default" w:cs="宋体"/>
          <w:sz w:val="20"/>
          <w:szCs w:val="20"/>
        </w:rPr>
      </w:pPr>
      <w:r>
        <w:rPr>
          <w:rFonts w:cs="宋体"/>
          <w:sz w:val="20"/>
          <w:szCs w:val="20"/>
        </w:rPr>
        <w:t>备注：1.本表反映部门本年度的总收支和年末结转结余情况。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1"/>
        <w:tblW w:w="15503" w:type="dxa"/>
        <w:tblInd w:w="0" w:type="dxa"/>
        <w:tblLayout w:type="fixed"/>
        <w:tblCellMar>
          <w:top w:w="0" w:type="dxa"/>
          <w:left w:w="0" w:type="dxa"/>
          <w:bottom w:w="0" w:type="dxa"/>
          <w:right w:w="0" w:type="dxa"/>
        </w:tblCellMar>
      </w:tblPr>
      <w:tblGrid>
        <w:gridCol w:w="1436"/>
        <w:gridCol w:w="3116"/>
        <w:gridCol w:w="1349"/>
        <w:gridCol w:w="1408"/>
        <w:gridCol w:w="1228"/>
        <w:gridCol w:w="1228"/>
        <w:gridCol w:w="1361"/>
        <w:gridCol w:w="1299"/>
        <w:gridCol w:w="1432"/>
        <w:gridCol w:w="1646"/>
      </w:tblGrid>
      <w:tr>
        <w:tblPrEx>
          <w:tblLayout w:type="fixed"/>
          <w:tblCellMar>
            <w:top w:w="0" w:type="dxa"/>
            <w:left w:w="0" w:type="dxa"/>
            <w:bottom w:w="0" w:type="dxa"/>
            <w:right w:w="0" w:type="dxa"/>
          </w:tblCellMar>
        </w:tblPrEx>
        <w:trPr>
          <w:trHeight w:val="641" w:hRule="atLeast"/>
        </w:trPr>
        <w:tc>
          <w:tcPr>
            <w:tcW w:w="15503"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590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部门：</w:t>
            </w:r>
            <w:r>
              <w:rPr>
                <w:sz w:val="20"/>
                <w:u w:color="auto"/>
              </w:rPr>
              <w:t>秀山土家族苗族自治县红十字会</w:t>
            </w:r>
          </w:p>
        </w:tc>
        <w:tc>
          <w:tcPr>
            <w:tcW w:w="140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9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02</w:t>
            </w:r>
            <w:r>
              <w:rPr>
                <w:rFonts w:cs="宋体"/>
                <w:color w:val="000000"/>
                <w:sz w:val="20"/>
                <w:szCs w:val="20"/>
              </w:rPr>
              <w:t>表</w:t>
            </w:r>
          </w:p>
        </w:tc>
      </w:tr>
      <w:tr>
        <w:tblPrEx>
          <w:tblLayout w:type="fixed"/>
          <w:tblCellMar>
            <w:top w:w="0" w:type="dxa"/>
            <w:left w:w="0" w:type="dxa"/>
            <w:bottom w:w="0" w:type="dxa"/>
            <w:right w:w="0" w:type="dxa"/>
          </w:tblCellMar>
        </w:tblPrEx>
        <w:trPr>
          <w:trHeight w:val="328" w:hRule="atLeast"/>
        </w:trPr>
        <w:tc>
          <w:tcPr>
            <w:tcW w:w="590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0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9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1" w:hRule="atLeast"/>
        </w:trPr>
        <w:tc>
          <w:tcPr>
            <w:tcW w:w="4552"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3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4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2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5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29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43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64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43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116"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3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36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43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116"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43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116"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43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116"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45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3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23.68</w:t>
            </w:r>
            <w:r>
              <w:rPr>
                <w:rFonts w:ascii="Times New Roman" w:hAnsi="Times New Roman"/>
                <w:b/>
                <w:color w:val="000000"/>
                <w:sz w:val="20"/>
                <w:u w:color="auto"/>
              </w:rPr>
              <w:t xml:space="preserve"> </w:t>
            </w:r>
          </w:p>
        </w:tc>
        <w:tc>
          <w:tcPr>
            <w:tcW w:w="14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23.68</w:t>
            </w:r>
            <w:r>
              <w:rPr>
                <w:rFonts w:ascii="Times New Roman" w:hAnsi="Times New Roman"/>
                <w:b/>
                <w:color w:val="000000"/>
                <w:sz w:val="20"/>
                <w:u w:color="auto"/>
              </w:rPr>
              <w:t xml:space="preserve"> </w:t>
            </w:r>
          </w:p>
        </w:tc>
        <w:tc>
          <w:tcPr>
            <w:tcW w:w="122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2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36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43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64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3.72</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3.72</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3.72</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3.72</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2.48</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2.48</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1.24</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1.24</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18.69</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18.69</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17.40</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17.40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17.40</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17.40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1.29</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1.29</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1.05</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1.05</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0.24</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0.24</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1.26</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1.26</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1.26</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1.26</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1.26</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1.26</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ind w:left="600" w:hanging="600" w:hangingChars="300"/>
        <w:rPr>
          <w:rFonts w:hint="default" w:cs="宋体"/>
          <w:sz w:val="20"/>
          <w:szCs w:val="20"/>
        </w:rPr>
      </w:pPr>
      <w:r>
        <w:rPr>
          <w:rFonts w:cs="宋体"/>
          <w:sz w:val="20"/>
          <w:szCs w:val="20"/>
        </w:rPr>
        <w:t>备注：1.本表反映部门本年度取得的各项收入情况。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0"/>
          <w:szCs w:val="20"/>
        </w:rPr>
      </w:pPr>
      <w:r>
        <w:rPr>
          <w:rFonts w:cs="宋体"/>
          <w:sz w:val="20"/>
          <w:szCs w:val="20"/>
        </w:rPr>
        <w:br w:type="page"/>
      </w:r>
    </w:p>
    <w:tbl>
      <w:tblPr>
        <w:tblStyle w:val="11"/>
        <w:tblW w:w="15322" w:type="dxa"/>
        <w:tblInd w:w="0" w:type="dxa"/>
        <w:tblLayout w:type="fixed"/>
        <w:tblCellMar>
          <w:top w:w="0" w:type="dxa"/>
          <w:left w:w="0" w:type="dxa"/>
          <w:bottom w:w="0" w:type="dxa"/>
          <w:right w:w="0" w:type="dxa"/>
        </w:tblCellMar>
      </w:tblPr>
      <w:tblGrid>
        <w:gridCol w:w="1483"/>
        <w:gridCol w:w="3552"/>
        <w:gridCol w:w="1667"/>
        <w:gridCol w:w="1716"/>
        <w:gridCol w:w="1649"/>
        <w:gridCol w:w="1581"/>
        <w:gridCol w:w="1716"/>
        <w:gridCol w:w="1958"/>
      </w:tblGrid>
      <w:tr>
        <w:tblPrEx>
          <w:tblLayout w:type="fixed"/>
          <w:tblCellMar>
            <w:top w:w="0" w:type="dxa"/>
            <w:left w:w="0" w:type="dxa"/>
            <w:bottom w:w="0" w:type="dxa"/>
            <w:right w:w="0" w:type="dxa"/>
          </w:tblCellMar>
        </w:tblPrEx>
        <w:trPr>
          <w:trHeight w:val="65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670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部门</w:t>
            </w:r>
            <w:r>
              <w:rPr>
                <w:rFonts w:cs="宋体"/>
                <w:color w:val="000000"/>
                <w:sz w:val="20"/>
                <w:szCs w:val="20"/>
              </w:rPr>
              <w:t>：</w:t>
            </w:r>
            <w:r>
              <w:rPr>
                <w:color w:val="000000"/>
                <w:sz w:val="20"/>
                <w:u w:color="auto"/>
              </w:rPr>
              <w:t xml:space="preserve">秀山土家族苗族自治县红十字会 </w:t>
            </w:r>
          </w:p>
        </w:tc>
        <w:tc>
          <w:tcPr>
            <w:tcW w:w="171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8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1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5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03</w:t>
            </w:r>
            <w:r>
              <w:rPr>
                <w:rFonts w:cs="宋体"/>
                <w:color w:val="000000"/>
                <w:sz w:val="20"/>
                <w:szCs w:val="20"/>
              </w:rPr>
              <w:t>表</w:t>
            </w:r>
          </w:p>
        </w:tc>
      </w:tr>
      <w:tr>
        <w:tblPrEx>
          <w:tblLayout w:type="fixed"/>
          <w:tblCellMar>
            <w:top w:w="0" w:type="dxa"/>
            <w:left w:w="0" w:type="dxa"/>
            <w:bottom w:w="0" w:type="dxa"/>
            <w:right w:w="0" w:type="dxa"/>
          </w:tblCellMar>
        </w:tblPrEx>
        <w:trPr>
          <w:trHeight w:val="342" w:hRule="atLeast"/>
        </w:trPr>
        <w:tc>
          <w:tcPr>
            <w:tcW w:w="670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1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8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1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5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2" w:hRule="atLeast"/>
        </w:trPr>
        <w:tc>
          <w:tcPr>
            <w:tcW w:w="50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6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71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6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58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71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9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48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52"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8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48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52"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8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48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52"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8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48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52"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8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2" w:hRule="atLeast"/>
        </w:trPr>
        <w:tc>
          <w:tcPr>
            <w:tcW w:w="50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6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23.68</w:t>
            </w:r>
            <w:r>
              <w:rPr>
                <w:rFonts w:ascii="Times New Roman" w:hAnsi="Times New Roman"/>
                <w:b/>
                <w:color w:val="000000"/>
                <w:sz w:val="20"/>
                <w:u w:color="auto"/>
              </w:rPr>
              <w:t xml:space="preserve"> </w:t>
            </w:r>
          </w:p>
        </w:tc>
        <w:tc>
          <w:tcPr>
            <w:tcW w:w="17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23.68</w:t>
            </w:r>
            <w:r>
              <w:rPr>
                <w:rFonts w:ascii="Times New Roman" w:hAnsi="Times New Roman"/>
                <w:b/>
                <w:color w:val="000000"/>
                <w:sz w:val="20"/>
                <w:u w:color="auto"/>
              </w:rPr>
              <w:t xml:space="preserve"> </w:t>
            </w:r>
          </w:p>
        </w:tc>
        <w:tc>
          <w:tcPr>
            <w:tcW w:w="16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5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9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3.72</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3.72</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3.72</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3.72</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2.48</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2.48</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1.24</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1.24</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18.69</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18.69</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17.40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17.40</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17.40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17.40</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1.29</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1.29</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1.05</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1.05</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0.24</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0.24</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1.26</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1.26</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1.26</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1.26</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1.26</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1.26</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0"/>
          <w:szCs w:val="20"/>
        </w:rPr>
      </w:pPr>
      <w:r>
        <w:rPr>
          <w:rFonts w:cs="宋体"/>
          <w:sz w:val="20"/>
          <w:szCs w:val="20"/>
        </w:rPr>
        <w:t>备注：1.本表反映部门本年度各项支出情况。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p>
      <w:pPr>
        <w:rPr>
          <w:rFonts w:hint="default" w:cs="宋体"/>
          <w:sz w:val="21"/>
          <w:szCs w:val="21"/>
        </w:rPr>
      </w:pPr>
    </w:p>
    <w:tbl>
      <w:tblPr>
        <w:tblStyle w:val="11"/>
        <w:tblW w:w="14678" w:type="dxa"/>
        <w:tblInd w:w="0" w:type="dxa"/>
        <w:tblLayout w:type="fixed"/>
        <w:tblCellMar>
          <w:top w:w="0" w:type="dxa"/>
          <w:left w:w="0" w:type="dxa"/>
          <w:bottom w:w="0" w:type="dxa"/>
          <w:right w:w="0" w:type="dxa"/>
        </w:tblCellMar>
      </w:tblPr>
      <w:tblGrid>
        <w:gridCol w:w="2967"/>
        <w:gridCol w:w="1521"/>
        <w:gridCol w:w="3179"/>
        <w:gridCol w:w="1694"/>
        <w:gridCol w:w="1694"/>
        <w:gridCol w:w="1694"/>
        <w:gridCol w:w="1929"/>
      </w:tblGrid>
      <w:tr>
        <w:tblPrEx>
          <w:tblLayout w:type="fixed"/>
          <w:tblCellMar>
            <w:top w:w="0" w:type="dxa"/>
            <w:left w:w="0" w:type="dxa"/>
            <w:bottom w:w="0" w:type="dxa"/>
            <w:right w:w="0" w:type="dxa"/>
          </w:tblCellMar>
        </w:tblPrEx>
        <w:trPr>
          <w:trHeight w:val="90" w:hRule="atLeast"/>
        </w:trPr>
        <w:tc>
          <w:tcPr>
            <w:tcW w:w="14678"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7667"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部门</w:t>
            </w:r>
            <w:r>
              <w:rPr>
                <w:rFonts w:cs="宋体"/>
                <w:color w:val="000000"/>
                <w:sz w:val="20"/>
                <w:szCs w:val="20"/>
              </w:rPr>
              <w:t>：</w:t>
            </w:r>
            <w:r>
              <w:rPr>
                <w:color w:val="000000"/>
                <w:sz w:val="20"/>
                <w:u w:color="auto"/>
              </w:rPr>
              <w:t>秀山土家族苗族自治县红十字会</w:t>
            </w: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04</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667"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4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19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7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11"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17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23.68</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一、一般公共服务支出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二、外交支出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四、公共安全支出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五、教育支出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六、科学技术支出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七、文化旅游体育与传媒支出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八、社会保障和就业支出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3.72</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3.72</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九、卫生健康支出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18.69</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18.69</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十、节能环保支出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十一、城乡社区支出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十二、农林水支出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十三、交通运输支出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十四、资源勘探工业信息等支出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十五、商业服务业等支出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十六、金融支出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十七、援助其他地区支出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十八、自然资源海洋气象等支出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十九、住房保障支出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1.26</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1.26</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二十、粮油物资储备支出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二十一、国有资本经营预算支出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二十二、灾害防治及应急管理支出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二十三、其他支出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二十四、债务还本支出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二十五、债务付息支出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二十六、抗疫特别国债安排的支出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本年收入合计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23.68</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本年支出合计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23.68</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23.68</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年初财政拨款结转和结余</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年末财政拨款结转和结余</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23.68</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23.68</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23.68</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bl>
    <w:p>
      <w:pPr>
        <w:spacing w:line="240" w:lineRule="exact"/>
        <w:rPr>
          <w:rFonts w:hint="default" w:cs="宋体"/>
          <w:sz w:val="20"/>
          <w:szCs w:val="20"/>
        </w:rPr>
      </w:pPr>
      <w:r>
        <w:rPr>
          <w:rFonts w:cs="宋体"/>
          <w:sz w:val="20"/>
          <w:szCs w:val="20"/>
        </w:rPr>
        <w:t>备注：1.本表反映部门本年度一般公共预算财政拨款、政府性基金预算财政拨款及国有资本经营预算财政拨款的总收支和年末结转结余情况。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1"/>
        <w:tblW w:w="15322" w:type="dxa"/>
        <w:tblInd w:w="0" w:type="dxa"/>
        <w:tblLayout w:type="fixed"/>
        <w:tblCellMar>
          <w:top w:w="0" w:type="dxa"/>
          <w:left w:w="0" w:type="dxa"/>
          <w:bottom w:w="0" w:type="dxa"/>
          <w:right w:w="0" w:type="dxa"/>
        </w:tblCellMar>
      </w:tblPr>
      <w:tblGrid>
        <w:gridCol w:w="1486"/>
        <w:gridCol w:w="3895"/>
        <w:gridCol w:w="3306"/>
        <w:gridCol w:w="3300"/>
        <w:gridCol w:w="3335"/>
      </w:tblGrid>
      <w:tr>
        <w:tblPrEx>
          <w:tblLayout w:type="fixed"/>
          <w:tblCellMar>
            <w:top w:w="0" w:type="dxa"/>
            <w:left w:w="0" w:type="dxa"/>
            <w:bottom w:w="0" w:type="dxa"/>
            <w:right w:w="0" w:type="dxa"/>
          </w:tblCellMar>
        </w:tblPrEx>
        <w:trPr>
          <w:trHeight w:val="510" w:hRule="atLeast"/>
        </w:trPr>
        <w:tc>
          <w:tcPr>
            <w:tcW w:w="15322"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8687"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部门</w:t>
            </w:r>
            <w:r>
              <w:rPr>
                <w:rFonts w:cs="宋体"/>
                <w:color w:val="000000"/>
                <w:sz w:val="20"/>
                <w:szCs w:val="20"/>
              </w:rPr>
              <w:t>：</w:t>
            </w:r>
            <w:r>
              <w:rPr>
                <w:color w:val="000000"/>
                <w:sz w:val="20"/>
                <w:u w:color="auto"/>
              </w:rPr>
              <w:t>秀山土家族苗族自治县红十字会</w:t>
            </w: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05</w:t>
            </w:r>
            <w:r>
              <w:rPr>
                <w:rFonts w:cs="宋体"/>
                <w:color w:val="000000"/>
                <w:sz w:val="20"/>
                <w:szCs w:val="20"/>
              </w:rPr>
              <w:t>表</w:t>
            </w:r>
          </w:p>
        </w:tc>
      </w:tr>
      <w:tr>
        <w:tblPrEx>
          <w:tblLayout w:type="fixed"/>
          <w:tblCellMar>
            <w:top w:w="0" w:type="dxa"/>
            <w:left w:w="0" w:type="dxa"/>
            <w:bottom w:w="0" w:type="dxa"/>
            <w:right w:w="0" w:type="dxa"/>
          </w:tblCellMar>
        </w:tblPrEx>
        <w:trPr>
          <w:trHeight w:val="285" w:hRule="atLeast"/>
        </w:trPr>
        <w:tc>
          <w:tcPr>
            <w:tcW w:w="8687"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08" w:hRule="atLeast"/>
        </w:trPr>
        <w:tc>
          <w:tcPr>
            <w:tcW w:w="53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41"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48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89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0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3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5"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08" w:hRule="atLeast"/>
        </w:trPr>
        <w:tc>
          <w:tcPr>
            <w:tcW w:w="5381"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23.68</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23.68</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3.72</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3.72</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3.72</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3.72</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2.48</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2.48</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1.24</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1.24</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18.69</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18.69</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17.40</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17.40</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17.40</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17.40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1.29</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1.29</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1.05</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1.05</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0.24</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0.24</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1.26</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1.26</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1.26</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1.26</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1.26</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1.26</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备注：1.本表反映部门本年度一般公共预算财政拨款支出情况。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ind w:firstLine="630" w:firstLineChars="300"/>
        <w:rPr>
          <w:rFonts w:hint="default" w:cs="宋体"/>
          <w:sz w:val="21"/>
          <w:szCs w:val="21"/>
        </w:rPr>
      </w:pPr>
      <w:r>
        <w:rPr>
          <w:rFonts w:cs="宋体"/>
          <w:sz w:val="21"/>
          <w:szCs w:val="21"/>
        </w:rPr>
        <w:br w:type="page"/>
      </w:r>
    </w:p>
    <w:tbl>
      <w:tblPr>
        <w:tblStyle w:val="11"/>
        <w:tblW w:w="15304" w:type="dxa"/>
        <w:tblInd w:w="0" w:type="dxa"/>
        <w:tblLayout w:type="fixed"/>
        <w:tblCellMar>
          <w:top w:w="0" w:type="dxa"/>
          <w:left w:w="0" w:type="dxa"/>
          <w:bottom w:w="0" w:type="dxa"/>
          <w:right w:w="0" w:type="dxa"/>
        </w:tblCellMar>
      </w:tblPr>
      <w:tblGrid>
        <w:gridCol w:w="603"/>
        <w:gridCol w:w="2730"/>
        <w:gridCol w:w="1371"/>
        <w:gridCol w:w="833"/>
        <w:gridCol w:w="1916"/>
        <w:gridCol w:w="1650"/>
        <w:gridCol w:w="805"/>
        <w:gridCol w:w="3514"/>
        <w:gridCol w:w="1882"/>
      </w:tblGrid>
      <w:tr>
        <w:tblPrEx>
          <w:tblLayout w:type="fixed"/>
          <w:tblCellMar>
            <w:top w:w="0" w:type="dxa"/>
            <w:left w:w="0" w:type="dxa"/>
            <w:bottom w:w="0" w:type="dxa"/>
            <w:right w:w="0" w:type="dxa"/>
          </w:tblCellMar>
        </w:tblPrEx>
        <w:trPr>
          <w:trHeight w:val="90" w:hRule="atLeast"/>
        </w:trPr>
        <w:tc>
          <w:tcPr>
            <w:tcW w:w="15304"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7453" w:type="dxa"/>
            <w:gridSpan w:val="5"/>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部门</w:t>
            </w:r>
            <w:r>
              <w:rPr>
                <w:rFonts w:cs="宋体"/>
                <w:color w:val="000000"/>
                <w:sz w:val="20"/>
                <w:szCs w:val="20"/>
              </w:rPr>
              <w:t>：</w:t>
            </w:r>
            <w:r>
              <w:rPr>
                <w:color w:val="000000"/>
                <w:sz w:val="20"/>
                <w:u w:color="auto"/>
              </w:rPr>
              <w:t>秀山土家族苗族自治县红十字会</w:t>
            </w: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06</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453" w:type="dxa"/>
            <w:gridSpan w:val="5"/>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00" w:type="dxa"/>
            <w:gridSpan w:val="6"/>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3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1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14"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2"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273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37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3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9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5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0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514"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882"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22.38</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1.30</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5.72</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0.16</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0.77</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9.59</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2.48</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1.24</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0.08</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1.05</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0.03</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1.26</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0.24</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0.06</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ind w:firstLine="180" w:firstLineChars="100"/>
              <w:textAlignment w:val="center"/>
              <w:rPr>
                <w:rFonts w:hint="default" w:cs="宋体"/>
                <w:color w:val="000000"/>
                <w:sz w:val="18"/>
                <w:szCs w:val="18"/>
              </w:rPr>
            </w:pPr>
            <w:r>
              <w:rPr>
                <w:rFonts w:cs="宋体"/>
                <w:color w:val="000000"/>
                <w:sz w:val="18"/>
                <w:szCs w:val="18"/>
              </w:rPr>
              <w:t>其他资本性补助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1.00</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债务利息及费用支出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155"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310" w:hRule="atLeast"/>
        </w:trPr>
        <w:tc>
          <w:tcPr>
            <w:tcW w:w="3333"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22.38</w:t>
            </w:r>
            <w:r>
              <w:rPr>
                <w:rFonts w:ascii="Times New Roman" w:hAnsi="Times New Roman"/>
                <w:color w:val="000000"/>
                <w:sz w:val="18"/>
                <w:u w:color="auto"/>
              </w:rPr>
              <w:t xml:space="preserve"> </w:t>
            </w:r>
          </w:p>
        </w:tc>
        <w:tc>
          <w:tcPr>
            <w:tcW w:w="8718" w:type="dxa"/>
            <w:gridSpan w:val="5"/>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1.30</w:t>
            </w:r>
            <w:r>
              <w:rPr>
                <w:rFonts w:ascii="Times New Roman" w:hAnsi="Times New Roman"/>
                <w:color w:val="000000"/>
                <w:sz w:val="18"/>
                <w:u w:color="auto"/>
              </w:rPr>
              <w:t xml:space="preserve"> </w:t>
            </w:r>
          </w:p>
        </w:tc>
      </w:tr>
    </w:tbl>
    <w:p>
      <w:pPr>
        <w:spacing w:line="280" w:lineRule="exact"/>
        <w:rPr>
          <w:rFonts w:hint="default" w:cs="宋体"/>
          <w:sz w:val="20"/>
          <w:szCs w:val="20"/>
        </w:rPr>
      </w:pPr>
      <w:r>
        <w:rPr>
          <w:rFonts w:cs="宋体"/>
          <w:sz w:val="20"/>
          <w:szCs w:val="20"/>
        </w:rPr>
        <w:t>备注：1.本表反映部门本年度一般公共预算财政拨款基本支出明细情况。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1"/>
        <w:tblW w:w="15322" w:type="dxa"/>
        <w:tblInd w:w="0" w:type="dxa"/>
        <w:tblLayout w:type="fixed"/>
        <w:tblCellMar>
          <w:top w:w="0" w:type="dxa"/>
          <w:left w:w="0" w:type="dxa"/>
          <w:bottom w:w="0" w:type="dxa"/>
          <w:right w:w="0" w:type="dxa"/>
        </w:tblCellMar>
      </w:tblPr>
      <w:tblGrid>
        <w:gridCol w:w="1635"/>
        <w:gridCol w:w="3285"/>
        <w:gridCol w:w="1701"/>
        <w:gridCol w:w="1701"/>
        <w:gridCol w:w="1701"/>
        <w:gridCol w:w="1701"/>
        <w:gridCol w:w="1765"/>
        <w:gridCol w:w="1833"/>
      </w:tblGrid>
      <w:tr>
        <w:tblPrEx>
          <w:tblLayout w:type="fixed"/>
          <w:tblCellMar>
            <w:top w:w="0" w:type="dxa"/>
            <w:left w:w="0" w:type="dxa"/>
            <w:bottom w:w="0" w:type="dxa"/>
            <w:right w:w="0" w:type="dxa"/>
          </w:tblCellMar>
        </w:tblPrEx>
        <w:trPr>
          <w:trHeight w:val="64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2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部门</w:t>
            </w:r>
            <w:r>
              <w:rPr>
                <w:rFonts w:cs="宋体"/>
                <w:color w:val="000000"/>
                <w:sz w:val="20"/>
                <w:szCs w:val="20"/>
              </w:rPr>
              <w:t>：</w:t>
            </w:r>
            <w:r>
              <w:rPr>
                <w:color w:val="000000"/>
                <w:sz w:val="20"/>
                <w:u w:color="auto"/>
              </w:rPr>
              <w:t>秀山土家族苗族自治县红十字会</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07</w:t>
            </w:r>
            <w:r>
              <w:rPr>
                <w:rFonts w:cs="宋体"/>
                <w:color w:val="000000"/>
                <w:sz w:val="20"/>
                <w:szCs w:val="20"/>
              </w:rPr>
              <w:t>表</w:t>
            </w:r>
          </w:p>
        </w:tc>
      </w:tr>
      <w:tr>
        <w:tblPrEx>
          <w:tblLayout w:type="fixed"/>
          <w:tblCellMar>
            <w:top w:w="0" w:type="dxa"/>
            <w:left w:w="0" w:type="dxa"/>
            <w:bottom w:w="0" w:type="dxa"/>
            <w:right w:w="0" w:type="dxa"/>
          </w:tblCellMar>
        </w:tblPrEx>
        <w:trPr>
          <w:trHeight w:val="329" w:hRule="atLeast"/>
        </w:trPr>
        <w:tc>
          <w:tcPr>
            <w:tcW w:w="662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67"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6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2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备注：本表反映部门本年度政府性基金预算财政拨款收入支出及结转和结余情况。本部门无政府性基金收支，故本表无数据。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11"/>
        <w:tblW w:w="15322" w:type="dxa"/>
        <w:tblInd w:w="0" w:type="dxa"/>
        <w:tblLayout w:type="fixed"/>
        <w:tblCellMar>
          <w:top w:w="0" w:type="dxa"/>
          <w:left w:w="0" w:type="dxa"/>
          <w:bottom w:w="0" w:type="dxa"/>
          <w:right w:w="0" w:type="dxa"/>
        </w:tblCellMar>
      </w:tblPr>
      <w:tblGrid>
        <w:gridCol w:w="2001"/>
        <w:gridCol w:w="2917"/>
        <w:gridCol w:w="3264"/>
        <w:gridCol w:w="199"/>
        <w:gridCol w:w="3463"/>
        <w:gridCol w:w="77"/>
        <w:gridCol w:w="3401"/>
      </w:tblGrid>
      <w:tr>
        <w:tblPrEx>
          <w:tblLayout w:type="fixed"/>
          <w:tblCellMar>
            <w:top w:w="0" w:type="dxa"/>
            <w:left w:w="0" w:type="dxa"/>
            <w:bottom w:w="0" w:type="dxa"/>
            <w:right w:w="0" w:type="dxa"/>
          </w:tblCellMar>
        </w:tblPrEx>
        <w:trPr>
          <w:trHeight w:val="65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18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部门</w:t>
            </w:r>
            <w:r>
              <w:rPr>
                <w:rFonts w:cs="宋体"/>
                <w:color w:val="000000"/>
                <w:sz w:val="20"/>
                <w:szCs w:val="20"/>
              </w:rPr>
              <w:t>：</w:t>
            </w:r>
            <w:r>
              <w:rPr>
                <w:color w:val="000000"/>
                <w:sz w:val="20"/>
                <w:u w:color="auto"/>
              </w:rPr>
              <w:t>秀山土家族苗族自治县红十字会</w:t>
            </w: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08</w:t>
            </w:r>
            <w:r>
              <w:rPr>
                <w:rFonts w:cs="宋体"/>
                <w:color w:val="000000"/>
                <w:sz w:val="20"/>
                <w:szCs w:val="20"/>
              </w:rPr>
              <w:t>表</w:t>
            </w:r>
          </w:p>
        </w:tc>
      </w:tr>
      <w:tr>
        <w:tblPrEx>
          <w:tblLayout w:type="fixed"/>
          <w:tblCellMar>
            <w:top w:w="0" w:type="dxa"/>
            <w:left w:w="0" w:type="dxa"/>
            <w:bottom w:w="0" w:type="dxa"/>
            <w:right w:w="0" w:type="dxa"/>
          </w:tblCellMar>
        </w:tblPrEx>
        <w:trPr>
          <w:trHeight w:val="332" w:hRule="atLeast"/>
        </w:trPr>
        <w:tc>
          <w:tcPr>
            <w:tcW w:w="818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0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2001"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291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63"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78"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488" w:hRule="atLeast"/>
        </w:trPr>
        <w:tc>
          <w:tcPr>
            <w:tcW w:w="20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29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r>
    </w:tbl>
    <w:p>
      <w:pPr>
        <w:rPr>
          <w:rFonts w:hint="default" w:cs="宋体"/>
          <w:sz w:val="21"/>
          <w:szCs w:val="21"/>
        </w:rPr>
      </w:pPr>
      <w:r>
        <w:rPr>
          <w:rFonts w:cs="宋体"/>
          <w:sz w:val="20"/>
          <w:szCs w:val="20"/>
        </w:rPr>
        <w:t>备注：本表反映部门本年度国有资本经营预算财政拨款支出情况。本部门无国有资本经营收支，故本表无数据。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hint="default" w:cs="宋体"/>
          <w:sz w:val="21"/>
          <w:szCs w:val="21"/>
        </w:rPr>
        <w:br w:type="page"/>
      </w:r>
    </w:p>
    <w:tbl>
      <w:tblPr>
        <w:tblStyle w:val="11"/>
        <w:tblW w:w="14131" w:type="dxa"/>
        <w:tblInd w:w="0" w:type="dxa"/>
        <w:tblLayout w:type="fixed"/>
        <w:tblCellMar>
          <w:top w:w="0" w:type="dxa"/>
          <w:left w:w="170" w:type="dxa"/>
          <w:bottom w:w="0" w:type="dxa"/>
          <w:right w:w="170" w:type="dxa"/>
        </w:tblCellMar>
      </w:tblPr>
      <w:tblGrid>
        <w:gridCol w:w="3179"/>
        <w:gridCol w:w="2416"/>
        <w:gridCol w:w="2375"/>
        <w:gridCol w:w="3674"/>
        <w:gridCol w:w="2487"/>
      </w:tblGrid>
      <w:tr>
        <w:tblPrEx>
          <w:tblLayout w:type="fixed"/>
          <w:tblCellMar>
            <w:top w:w="0" w:type="dxa"/>
            <w:left w:w="170" w:type="dxa"/>
            <w:bottom w:w="0" w:type="dxa"/>
            <w:right w:w="170" w:type="dxa"/>
          </w:tblCellMar>
        </w:tblPrEx>
        <w:trPr>
          <w:trHeight w:val="343" w:hRule="atLeast"/>
        </w:trPr>
        <w:tc>
          <w:tcPr>
            <w:tcW w:w="14131" w:type="dxa"/>
            <w:gridSpan w:val="5"/>
            <w:shd w:val="clear" w:color="auto" w:fill="auto"/>
            <w:tcMar>
              <w:top w:w="15" w:type="dxa"/>
              <w:left w:w="15" w:type="dxa"/>
              <w:right w:w="15" w:type="dxa"/>
            </w:tcMar>
            <w:vAlign w:val="bottom"/>
          </w:tcPr>
          <w:p>
            <w:pPr>
              <w:spacing w:line="400" w:lineRule="exact"/>
              <w:jc w:val="center"/>
              <w:textAlignment w:val="bottom"/>
              <w:rPr>
                <w:rFonts w:hint="default" w:cs="宋体"/>
                <w:b/>
                <w:color w:val="000000"/>
                <w:kern w:val="2"/>
                <w:sz w:val="32"/>
                <w:szCs w:val="32"/>
              </w:rPr>
            </w:pPr>
            <w:r>
              <w:rPr>
                <w:rFonts w:cs="宋体"/>
                <w:b/>
                <w:color w:val="000000"/>
                <w:kern w:val="2"/>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3179"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16" w:type="dxa"/>
            <w:shd w:val="clear" w:color="auto" w:fill="auto"/>
            <w:tcMar>
              <w:top w:w="15" w:type="dxa"/>
              <w:left w:w="15" w:type="dxa"/>
              <w:right w:w="15" w:type="dxa"/>
            </w:tcMar>
            <w:vAlign w:val="bottom"/>
          </w:tcPr>
          <w:p>
            <w:pPr>
              <w:spacing w:line="280" w:lineRule="exact"/>
              <w:jc w:val="center"/>
              <w:rPr>
                <w:rFonts w:hint="default" w:cs="宋体"/>
                <w:color w:val="000000"/>
                <w:kern w:val="2"/>
                <w:sz w:val="20"/>
                <w:szCs w:val="20"/>
              </w:rPr>
            </w:pPr>
          </w:p>
        </w:tc>
        <w:tc>
          <w:tcPr>
            <w:tcW w:w="2375" w:type="dxa"/>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公开</w:t>
            </w:r>
            <w:r>
              <w:rPr>
                <w:rFonts w:hint="default" w:ascii="Times New Roman" w:hAnsi="Times New Roman"/>
                <w:color w:val="000000"/>
                <w:kern w:val="2"/>
                <w:sz w:val="20"/>
                <w:szCs w:val="20"/>
              </w:rPr>
              <w:t>09</w:t>
            </w:r>
            <w:r>
              <w:rPr>
                <w:rFonts w:cs="宋体"/>
                <w:color w:val="000000"/>
                <w:kern w:val="2"/>
                <w:sz w:val="20"/>
                <w:szCs w:val="20"/>
              </w:rPr>
              <w:t>表</w:t>
            </w:r>
          </w:p>
        </w:tc>
      </w:tr>
      <w:tr>
        <w:tblPrEx>
          <w:tblLayout w:type="fixed"/>
          <w:tblCellMar>
            <w:top w:w="0" w:type="dxa"/>
            <w:left w:w="170" w:type="dxa"/>
            <w:bottom w:w="0" w:type="dxa"/>
            <w:right w:w="170" w:type="dxa"/>
          </w:tblCellMar>
        </w:tblPrEx>
        <w:trPr>
          <w:trHeight w:val="244" w:hRule="atLeast"/>
        </w:trPr>
        <w:tc>
          <w:tcPr>
            <w:tcW w:w="5595"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r>
              <w:rPr>
                <w:rFonts w:cs="宋体"/>
                <w:kern w:val="2"/>
                <w:sz w:val="20"/>
                <w:szCs w:val="20"/>
              </w:rPr>
              <w:t>部门</w:t>
            </w:r>
            <w:r>
              <w:rPr>
                <w:rFonts w:cs="宋体"/>
                <w:color w:val="000000"/>
                <w:kern w:val="2"/>
                <w:sz w:val="20"/>
                <w:szCs w:val="20"/>
              </w:rPr>
              <w:t>：</w:t>
            </w:r>
            <w:r>
              <w:rPr>
                <w:color w:val="000000"/>
                <w:sz w:val="20"/>
                <w:u w:color="auto"/>
              </w:rPr>
              <w:t>秀山土家族苗族自治县红十字会</w:t>
            </w:r>
          </w:p>
        </w:tc>
        <w:tc>
          <w:tcPr>
            <w:tcW w:w="237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单位：</w:t>
            </w:r>
            <w:r>
              <w:rPr>
                <w:rFonts w:cs="宋体"/>
                <w:kern w:val="2"/>
                <w:sz w:val="20"/>
                <w:szCs w:val="20"/>
              </w:rPr>
              <w:t>万元</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预算数</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一、“三公”经费支出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五、机关运行经费</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（一）支出合计</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（一）行政单位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（二）参照公务员法管理事业单位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2．公务用车购置及运行维护费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六、资产信息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（1）公务用车购置费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（一）车辆数合计（辆）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1．副部（省）级及以上领导用车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2．主要领导干部用车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（1）国内接待费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3．机要通信用车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4．应急保障用车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（2）国（境）外接待费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5．执法执勤用车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（二）相关统计数</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6．特种专业技术用车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1．因公出国（境）团组数（个）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7．离退休干部用车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2．因公出国（境）人次数（人）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8．其他用车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3．公务用车购置数（辆）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（二）单价100万元（含）以上设备（不含车辆）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4．公务用车保有量（辆）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七、政府采购支出信息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5．国内公务接待批次（个）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（一）政府采购支出合计</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1．政府采购货物支出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6．国内公务接待人次（人）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2．政府采购工程支出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3．政府采购服务支出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7．国（境）外公务接待批次（个）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（二）政府采购授予中小企业合同金额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8．国（境）外公务接待人次（人）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其中：授予小微企业合同金额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86"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二、会议费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三、培训费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sz w:val="16"/>
                <w:szCs w:val="16"/>
              </w:rPr>
            </w:pPr>
            <w:r>
              <w:rPr>
                <w:rFonts w:cs="宋体"/>
                <w:b/>
                <w:bCs/>
                <w:color w:val="000000"/>
                <w:sz w:val="16"/>
                <w:szCs w:val="16"/>
              </w:rPr>
              <w:t>四、差旅费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sz w:val="16"/>
                <w:szCs w:val="16"/>
              </w:rPr>
            </w:pPr>
          </w:p>
        </w:tc>
      </w:tr>
    </w:tbl>
    <w:p>
      <w:pPr>
        <w:rPr>
          <w:rFonts w:hint="default" w:cs="宋体"/>
          <w:sz w:val="18"/>
          <w:szCs w:val="18"/>
        </w:rPr>
      </w:pPr>
      <w:r>
        <w:rPr>
          <w:rFonts w:cs="宋体"/>
          <w:sz w:val="18"/>
          <w:szCs w:val="18"/>
        </w:rPr>
        <w:t>备注：1.本表反映部门本年度财政拨款“三公”经费支出预决算情况。其中，预算数为“三公”经费全年预算数，反映按规定程序调整后的预算数；决算数为包括本年度财政拨款和以前年度结转资金安排的实际支出。</w:t>
      </w:r>
      <w:r>
        <w:rPr>
          <w:rFonts w:cs="宋体"/>
          <w:sz w:val="18"/>
          <w:szCs w:val="18"/>
        </w:rPr>
        <w:br w:type="textWrapping"/>
      </w:r>
      <w:r>
        <w:rPr>
          <w:rFonts w:cs="宋体"/>
          <w:sz w:val="18"/>
          <w:szCs w:val="18"/>
        </w:rPr>
        <w:t xml:space="preserve">      2.本套报表金额单位转换时可能存在尾数误差。</w:t>
      </w:r>
      <w:r>
        <w:rPr>
          <w:rFonts w:cs="宋体"/>
          <w:sz w:val="18"/>
          <w:szCs w:val="18"/>
        </w:rPr>
        <w:br w:type="textWrapping"/>
      </w:r>
      <w:r>
        <w:rPr>
          <w:rFonts w:cs="宋体"/>
          <w:sz w:val="18"/>
          <w:szCs w:val="18"/>
        </w:rPr>
        <w:br w:type="textWrapping"/>
      </w:r>
    </w:p>
    <w:sectPr>
      <w:headerReference r:id="rId4" w:type="default"/>
      <w:footerReference r:id="rId5" w:type="default"/>
      <w:pgSz w:w="16783" w:h="11850"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fldChar w:fldCharType="begin"/>
                          </w:r>
                          <w:r>
                            <w:instrText xml:space="preserve"> PAGE  \* MERGEFORMAT </w:instrText>
                          </w:r>
                          <w:r>
                            <w:fldChar w:fldCharType="separate"/>
                          </w:r>
                          <w:r>
                            <w:rPr>
                              <w:rFonts w:hint="default"/>
                            </w:rPr>
                            <w:t>- 21 -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5"/>
                      <w:rPr>
                        <w:rFonts w:hint="default"/>
                      </w:rPr>
                    </w:pPr>
                    <w:r>
                      <w:fldChar w:fldCharType="begin"/>
                    </w:r>
                    <w:r>
                      <w:instrText xml:space="preserve"> PAGE  \* MERGEFORMAT </w:instrText>
                    </w:r>
                    <w:r>
                      <w:fldChar w:fldCharType="separate"/>
                    </w:r>
                    <w:r>
                      <w:rPr>
                        <w:rFonts w:hint="default"/>
                      </w:rPr>
                      <w:t>- 21 -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30 -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30 -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5"/>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5"/>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786F0"/>
    <w:multiLevelType w:val="singleLevel"/>
    <w:tmpl w:val="18E786F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0C01CC"/>
    <w:rsid w:val="000D7702"/>
    <w:rsid w:val="000F6721"/>
    <w:rsid w:val="001632EC"/>
    <w:rsid w:val="00261065"/>
    <w:rsid w:val="002D0E5A"/>
    <w:rsid w:val="002D71F4"/>
    <w:rsid w:val="002E5443"/>
    <w:rsid w:val="0032196C"/>
    <w:rsid w:val="004852DA"/>
    <w:rsid w:val="004C12FF"/>
    <w:rsid w:val="004D0390"/>
    <w:rsid w:val="00550ABE"/>
    <w:rsid w:val="005B023C"/>
    <w:rsid w:val="00600322"/>
    <w:rsid w:val="006137D7"/>
    <w:rsid w:val="00634FA8"/>
    <w:rsid w:val="0063613A"/>
    <w:rsid w:val="0068170B"/>
    <w:rsid w:val="006E2034"/>
    <w:rsid w:val="00732392"/>
    <w:rsid w:val="00792285"/>
    <w:rsid w:val="007A0D2E"/>
    <w:rsid w:val="007A3314"/>
    <w:rsid w:val="007B419D"/>
    <w:rsid w:val="007C5C5B"/>
    <w:rsid w:val="00810F13"/>
    <w:rsid w:val="00826B47"/>
    <w:rsid w:val="00893689"/>
    <w:rsid w:val="00940231"/>
    <w:rsid w:val="00944711"/>
    <w:rsid w:val="009574D5"/>
    <w:rsid w:val="009821E3"/>
    <w:rsid w:val="00984852"/>
    <w:rsid w:val="009B37A6"/>
    <w:rsid w:val="009B67B8"/>
    <w:rsid w:val="00A03B1E"/>
    <w:rsid w:val="00A67739"/>
    <w:rsid w:val="00A820B7"/>
    <w:rsid w:val="00A830E1"/>
    <w:rsid w:val="00AC5566"/>
    <w:rsid w:val="00B03CCD"/>
    <w:rsid w:val="00B104B0"/>
    <w:rsid w:val="00B40138"/>
    <w:rsid w:val="00BF5A85"/>
    <w:rsid w:val="00C307F6"/>
    <w:rsid w:val="00C96B11"/>
    <w:rsid w:val="00C97747"/>
    <w:rsid w:val="00CC6B99"/>
    <w:rsid w:val="00DF7706"/>
    <w:rsid w:val="00E05175"/>
    <w:rsid w:val="00E654E2"/>
    <w:rsid w:val="00E76362"/>
    <w:rsid w:val="00E86B80"/>
    <w:rsid w:val="00F137D3"/>
    <w:rsid w:val="00F13C36"/>
    <w:rsid w:val="00F23C68"/>
    <w:rsid w:val="00F32C53"/>
    <w:rsid w:val="00F73F90"/>
    <w:rsid w:val="00F7623D"/>
    <w:rsid w:val="00F8598B"/>
    <w:rsid w:val="00FA0819"/>
    <w:rsid w:val="00FB7EF0"/>
    <w:rsid w:val="01474EBF"/>
    <w:rsid w:val="01F3521E"/>
    <w:rsid w:val="03B87EA0"/>
    <w:rsid w:val="03E3214F"/>
    <w:rsid w:val="044C50BA"/>
    <w:rsid w:val="05BC6D49"/>
    <w:rsid w:val="06194FF1"/>
    <w:rsid w:val="06A2550B"/>
    <w:rsid w:val="06F80EE2"/>
    <w:rsid w:val="07001CCA"/>
    <w:rsid w:val="075678DB"/>
    <w:rsid w:val="079D7CC7"/>
    <w:rsid w:val="08051BCA"/>
    <w:rsid w:val="086C12F4"/>
    <w:rsid w:val="087B3940"/>
    <w:rsid w:val="08BA052C"/>
    <w:rsid w:val="08DB07BA"/>
    <w:rsid w:val="0969353F"/>
    <w:rsid w:val="098305D0"/>
    <w:rsid w:val="098A0877"/>
    <w:rsid w:val="0A5C4B69"/>
    <w:rsid w:val="0A86124A"/>
    <w:rsid w:val="0AB54CC0"/>
    <w:rsid w:val="0B9335CE"/>
    <w:rsid w:val="0C7927C4"/>
    <w:rsid w:val="0C9B098C"/>
    <w:rsid w:val="0D673E11"/>
    <w:rsid w:val="0DDA54E4"/>
    <w:rsid w:val="0E3A5F83"/>
    <w:rsid w:val="0E74421A"/>
    <w:rsid w:val="0EA46639"/>
    <w:rsid w:val="0EC6180C"/>
    <w:rsid w:val="0F497FB6"/>
    <w:rsid w:val="0F836721"/>
    <w:rsid w:val="0FA25D96"/>
    <w:rsid w:val="107B59E5"/>
    <w:rsid w:val="10EC0126"/>
    <w:rsid w:val="10F70B9A"/>
    <w:rsid w:val="111445C7"/>
    <w:rsid w:val="114278C6"/>
    <w:rsid w:val="1158083A"/>
    <w:rsid w:val="11643A4B"/>
    <w:rsid w:val="11ED0F98"/>
    <w:rsid w:val="11F03528"/>
    <w:rsid w:val="12C921C4"/>
    <w:rsid w:val="12F52ECF"/>
    <w:rsid w:val="13871C70"/>
    <w:rsid w:val="139D5716"/>
    <w:rsid w:val="13A71CB4"/>
    <w:rsid w:val="13AF1D43"/>
    <w:rsid w:val="13CE1647"/>
    <w:rsid w:val="13DA0C25"/>
    <w:rsid w:val="13FD55AB"/>
    <w:rsid w:val="14200702"/>
    <w:rsid w:val="14907817"/>
    <w:rsid w:val="163A6CEE"/>
    <w:rsid w:val="173708E3"/>
    <w:rsid w:val="174C19C7"/>
    <w:rsid w:val="17C374FC"/>
    <w:rsid w:val="189079DC"/>
    <w:rsid w:val="189B0D0B"/>
    <w:rsid w:val="18B43F7C"/>
    <w:rsid w:val="194A1770"/>
    <w:rsid w:val="19B906A4"/>
    <w:rsid w:val="1B6F15B6"/>
    <w:rsid w:val="1BAA2EDC"/>
    <w:rsid w:val="1C5C0973"/>
    <w:rsid w:val="1CA55E64"/>
    <w:rsid w:val="1D014A01"/>
    <w:rsid w:val="1D022362"/>
    <w:rsid w:val="1D1B04B0"/>
    <w:rsid w:val="1D6534C4"/>
    <w:rsid w:val="1DBD6767"/>
    <w:rsid w:val="1DC52125"/>
    <w:rsid w:val="1DD26311"/>
    <w:rsid w:val="1E374ACB"/>
    <w:rsid w:val="1E5E27E3"/>
    <w:rsid w:val="1EA33588"/>
    <w:rsid w:val="1ECF0A66"/>
    <w:rsid w:val="1EF67CA4"/>
    <w:rsid w:val="1F020D3A"/>
    <w:rsid w:val="1F2C5189"/>
    <w:rsid w:val="1F4B0B02"/>
    <w:rsid w:val="1FBB35CD"/>
    <w:rsid w:val="1FCD26AF"/>
    <w:rsid w:val="20642787"/>
    <w:rsid w:val="21556F04"/>
    <w:rsid w:val="22403BD3"/>
    <w:rsid w:val="23DA37D9"/>
    <w:rsid w:val="24B92327"/>
    <w:rsid w:val="24C14514"/>
    <w:rsid w:val="2533755C"/>
    <w:rsid w:val="25791755"/>
    <w:rsid w:val="26396DF4"/>
    <w:rsid w:val="27167136"/>
    <w:rsid w:val="27B23302"/>
    <w:rsid w:val="29310A5F"/>
    <w:rsid w:val="29C37A35"/>
    <w:rsid w:val="2A076083"/>
    <w:rsid w:val="2A73162E"/>
    <w:rsid w:val="2B167953"/>
    <w:rsid w:val="2B200583"/>
    <w:rsid w:val="2B220436"/>
    <w:rsid w:val="2B8209DE"/>
    <w:rsid w:val="2C6762A3"/>
    <w:rsid w:val="2EBF7B3E"/>
    <w:rsid w:val="2EDE1934"/>
    <w:rsid w:val="2FCA4B37"/>
    <w:rsid w:val="2FE029D7"/>
    <w:rsid w:val="2FE15EE1"/>
    <w:rsid w:val="2FF06E00"/>
    <w:rsid w:val="30562E26"/>
    <w:rsid w:val="30586FEC"/>
    <w:rsid w:val="30EC7046"/>
    <w:rsid w:val="315F0B22"/>
    <w:rsid w:val="319D022C"/>
    <w:rsid w:val="31C90022"/>
    <w:rsid w:val="31D84415"/>
    <w:rsid w:val="32285F6F"/>
    <w:rsid w:val="32770556"/>
    <w:rsid w:val="329C0913"/>
    <w:rsid w:val="32AA0460"/>
    <w:rsid w:val="3337290D"/>
    <w:rsid w:val="33E31118"/>
    <w:rsid w:val="33EF7674"/>
    <w:rsid w:val="342D7BC6"/>
    <w:rsid w:val="34475F39"/>
    <w:rsid w:val="34D92688"/>
    <w:rsid w:val="352930DB"/>
    <w:rsid w:val="35573069"/>
    <w:rsid w:val="355F6038"/>
    <w:rsid w:val="358C217E"/>
    <w:rsid w:val="35937598"/>
    <w:rsid w:val="36C9128A"/>
    <w:rsid w:val="372E3953"/>
    <w:rsid w:val="37841E99"/>
    <w:rsid w:val="37BF1123"/>
    <w:rsid w:val="383C3F15"/>
    <w:rsid w:val="38BE4696"/>
    <w:rsid w:val="3939115E"/>
    <w:rsid w:val="39B82A39"/>
    <w:rsid w:val="39C42CA8"/>
    <w:rsid w:val="39DC4FD6"/>
    <w:rsid w:val="39F03D7A"/>
    <w:rsid w:val="39F33306"/>
    <w:rsid w:val="3A2C1C67"/>
    <w:rsid w:val="3B1705E5"/>
    <w:rsid w:val="3B18334B"/>
    <w:rsid w:val="3B36794F"/>
    <w:rsid w:val="3C566AD6"/>
    <w:rsid w:val="3C6A5B02"/>
    <w:rsid w:val="3CD45FD0"/>
    <w:rsid w:val="3D2757A1"/>
    <w:rsid w:val="3D3D4FC4"/>
    <w:rsid w:val="3DDF3AB1"/>
    <w:rsid w:val="3E1D0952"/>
    <w:rsid w:val="3E42660A"/>
    <w:rsid w:val="3E7555B1"/>
    <w:rsid w:val="3E787ED9"/>
    <w:rsid w:val="3EEC37F3"/>
    <w:rsid w:val="3F032E93"/>
    <w:rsid w:val="3F0527E5"/>
    <w:rsid w:val="3F4814B0"/>
    <w:rsid w:val="3F5E5D98"/>
    <w:rsid w:val="3F694D83"/>
    <w:rsid w:val="3F885DCC"/>
    <w:rsid w:val="3FCD675E"/>
    <w:rsid w:val="3FD86860"/>
    <w:rsid w:val="4004000C"/>
    <w:rsid w:val="40D54604"/>
    <w:rsid w:val="40F16DC2"/>
    <w:rsid w:val="411B6CE5"/>
    <w:rsid w:val="412070D7"/>
    <w:rsid w:val="41314E40"/>
    <w:rsid w:val="41E0734B"/>
    <w:rsid w:val="426554D0"/>
    <w:rsid w:val="426C1EA8"/>
    <w:rsid w:val="42736402"/>
    <w:rsid w:val="42E86A87"/>
    <w:rsid w:val="43307B09"/>
    <w:rsid w:val="43470647"/>
    <w:rsid w:val="438D0E97"/>
    <w:rsid w:val="43BB152F"/>
    <w:rsid w:val="44494994"/>
    <w:rsid w:val="44B96DCF"/>
    <w:rsid w:val="44C37687"/>
    <w:rsid w:val="45CB699A"/>
    <w:rsid w:val="465B470D"/>
    <w:rsid w:val="469D6AD4"/>
    <w:rsid w:val="471E6C84"/>
    <w:rsid w:val="4748792B"/>
    <w:rsid w:val="475D719D"/>
    <w:rsid w:val="47674801"/>
    <w:rsid w:val="48225EF7"/>
    <w:rsid w:val="488F422B"/>
    <w:rsid w:val="48E36915"/>
    <w:rsid w:val="495C4A24"/>
    <w:rsid w:val="497135DF"/>
    <w:rsid w:val="4A1605D9"/>
    <w:rsid w:val="4A263DF2"/>
    <w:rsid w:val="4A6F6675"/>
    <w:rsid w:val="4AB6731B"/>
    <w:rsid w:val="4ABF0746"/>
    <w:rsid w:val="4B0502DF"/>
    <w:rsid w:val="4B135857"/>
    <w:rsid w:val="4B7951CB"/>
    <w:rsid w:val="4B7C315C"/>
    <w:rsid w:val="4CCF773C"/>
    <w:rsid w:val="4DAC4ACA"/>
    <w:rsid w:val="4DBE01D2"/>
    <w:rsid w:val="4EFC6D10"/>
    <w:rsid w:val="4F0C6BA3"/>
    <w:rsid w:val="4F10477D"/>
    <w:rsid w:val="4F186D58"/>
    <w:rsid w:val="4FEA65B7"/>
    <w:rsid w:val="5042146E"/>
    <w:rsid w:val="50F06B6E"/>
    <w:rsid w:val="52234D33"/>
    <w:rsid w:val="52261ABA"/>
    <w:rsid w:val="522F6E0C"/>
    <w:rsid w:val="52463BA1"/>
    <w:rsid w:val="5298794F"/>
    <w:rsid w:val="52F163D4"/>
    <w:rsid w:val="531A2DB4"/>
    <w:rsid w:val="53C0244D"/>
    <w:rsid w:val="53DD4D4E"/>
    <w:rsid w:val="53E578CE"/>
    <w:rsid w:val="541330F0"/>
    <w:rsid w:val="54272666"/>
    <w:rsid w:val="543B029D"/>
    <w:rsid w:val="54861779"/>
    <w:rsid w:val="552256E1"/>
    <w:rsid w:val="554E5773"/>
    <w:rsid w:val="555A3CBC"/>
    <w:rsid w:val="5582012B"/>
    <w:rsid w:val="558E4E05"/>
    <w:rsid w:val="55BE2E85"/>
    <w:rsid w:val="55D82B6C"/>
    <w:rsid w:val="561D52C4"/>
    <w:rsid w:val="5651697D"/>
    <w:rsid w:val="56530F5D"/>
    <w:rsid w:val="56692AE5"/>
    <w:rsid w:val="567700D3"/>
    <w:rsid w:val="56FF7E9E"/>
    <w:rsid w:val="578867FC"/>
    <w:rsid w:val="5842572D"/>
    <w:rsid w:val="5A3B59D6"/>
    <w:rsid w:val="5AD134D8"/>
    <w:rsid w:val="5B6503B1"/>
    <w:rsid w:val="5C0F7EC4"/>
    <w:rsid w:val="5C263CE4"/>
    <w:rsid w:val="5C5D2777"/>
    <w:rsid w:val="5CF66BF3"/>
    <w:rsid w:val="5D290C69"/>
    <w:rsid w:val="5F2D4A41"/>
    <w:rsid w:val="60C74F6C"/>
    <w:rsid w:val="60F81AB5"/>
    <w:rsid w:val="61025A59"/>
    <w:rsid w:val="613D5BBC"/>
    <w:rsid w:val="61536C39"/>
    <w:rsid w:val="61E64F4A"/>
    <w:rsid w:val="623E0993"/>
    <w:rsid w:val="62944DD7"/>
    <w:rsid w:val="6319381F"/>
    <w:rsid w:val="63236436"/>
    <w:rsid w:val="63303185"/>
    <w:rsid w:val="63C25DC5"/>
    <w:rsid w:val="63C62057"/>
    <w:rsid w:val="64571EF5"/>
    <w:rsid w:val="64CB0157"/>
    <w:rsid w:val="64FB113D"/>
    <w:rsid w:val="65036946"/>
    <w:rsid w:val="654A25FE"/>
    <w:rsid w:val="656152C6"/>
    <w:rsid w:val="6587477F"/>
    <w:rsid w:val="658C3A08"/>
    <w:rsid w:val="65C031CA"/>
    <w:rsid w:val="65CE6852"/>
    <w:rsid w:val="65EB6584"/>
    <w:rsid w:val="66267C04"/>
    <w:rsid w:val="663F505A"/>
    <w:rsid w:val="66967186"/>
    <w:rsid w:val="66EE5541"/>
    <w:rsid w:val="67924660"/>
    <w:rsid w:val="67B3608E"/>
    <w:rsid w:val="683200C2"/>
    <w:rsid w:val="68407834"/>
    <w:rsid w:val="6883293E"/>
    <w:rsid w:val="688412AD"/>
    <w:rsid w:val="68EB1B71"/>
    <w:rsid w:val="69475C96"/>
    <w:rsid w:val="6AAD2300"/>
    <w:rsid w:val="6B474EF5"/>
    <w:rsid w:val="6BBF53FD"/>
    <w:rsid w:val="6C560CAE"/>
    <w:rsid w:val="6C576495"/>
    <w:rsid w:val="6D903FF5"/>
    <w:rsid w:val="6DA955B8"/>
    <w:rsid w:val="6DE346AB"/>
    <w:rsid w:val="6DE5391A"/>
    <w:rsid w:val="6EEA5552"/>
    <w:rsid w:val="6EFD1324"/>
    <w:rsid w:val="6F5A53AC"/>
    <w:rsid w:val="6FAC003D"/>
    <w:rsid w:val="6FE55E12"/>
    <w:rsid w:val="6FFB2E76"/>
    <w:rsid w:val="708F6F7F"/>
    <w:rsid w:val="70D94BD3"/>
    <w:rsid w:val="71C34D91"/>
    <w:rsid w:val="72DB435C"/>
    <w:rsid w:val="72E2613A"/>
    <w:rsid w:val="72F771F4"/>
    <w:rsid w:val="734150D5"/>
    <w:rsid w:val="736650B0"/>
    <w:rsid w:val="73934AD2"/>
    <w:rsid w:val="750837F0"/>
    <w:rsid w:val="754758CF"/>
    <w:rsid w:val="761275E6"/>
    <w:rsid w:val="764F62AB"/>
    <w:rsid w:val="765C45EC"/>
    <w:rsid w:val="768A7619"/>
    <w:rsid w:val="772E1EBA"/>
    <w:rsid w:val="77EB79F7"/>
    <w:rsid w:val="796D60A4"/>
    <w:rsid w:val="79A031D5"/>
    <w:rsid w:val="7A1525F7"/>
    <w:rsid w:val="7B420052"/>
    <w:rsid w:val="7B861484"/>
    <w:rsid w:val="7BD06A28"/>
    <w:rsid w:val="7C3A7C0B"/>
    <w:rsid w:val="7C5248E4"/>
    <w:rsid w:val="7C566698"/>
    <w:rsid w:val="7C5866A3"/>
    <w:rsid w:val="7D7406BB"/>
    <w:rsid w:val="7DE94331"/>
    <w:rsid w:val="7F446A19"/>
    <w:rsid w:val="7F7452B9"/>
    <w:rsid w:val="7F8401D1"/>
    <w:rsid w:val="7FAC32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9">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Date"/>
    <w:basedOn w:val="1"/>
    <w:next w:val="1"/>
    <w:qFormat/>
    <w:uiPriority w:val="0"/>
    <w:pPr>
      <w:ind w:left="100" w:leftChars="2500"/>
    </w:pPr>
  </w:style>
  <w:style w:type="paragraph" w:styleId="4">
    <w:name w:val="Balloon Text"/>
    <w:basedOn w:val="1"/>
    <w:link w:val="17"/>
    <w:qFormat/>
    <w:uiPriority w:val="0"/>
    <w:rPr>
      <w:sz w:val="18"/>
      <w:szCs w:val="18"/>
    </w:rPr>
  </w:style>
  <w:style w:type="paragraph" w:styleId="5">
    <w:name w:val="footer"/>
    <w:basedOn w:val="1"/>
    <w:qFormat/>
    <w:uiPriority w:val="0"/>
    <w:pPr>
      <w:tabs>
        <w:tab w:val="center" w:pos="4153"/>
        <w:tab w:val="right" w:pos="8306"/>
      </w:tabs>
      <w:snapToGrid w:val="0"/>
    </w:pPr>
    <w:rPr>
      <w:sz w:val="18"/>
      <w:szCs w:val="18"/>
    </w:rPr>
  </w:style>
  <w:style w:type="paragraph" w:styleId="6">
    <w:name w:val="header"/>
    <w:basedOn w:val="1"/>
    <w:qFormat/>
    <w:uiPriority w:val="0"/>
    <w:pP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8">
    <w:name w:val="Normal (Web)"/>
    <w:basedOn w:val="1"/>
    <w:unhideWhenUsed/>
    <w:qFormat/>
    <w:uiPriority w:val="0"/>
    <w:pPr>
      <w:spacing w:before="100" w:beforeAutospacing="1" w:after="100" w:afterAutospacing="1"/>
    </w:pPr>
  </w:style>
  <w:style w:type="character" w:styleId="10">
    <w:name w:val="Strong"/>
    <w:qFormat/>
    <w:uiPriority w:val="0"/>
    <w:rPr>
      <w:b/>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3">
    <w:name w:val="列出段落1"/>
    <w:basedOn w:val="1"/>
    <w:qFormat/>
    <w:uiPriority w:val="99"/>
    <w:pPr>
      <w:ind w:firstLine="420" w:firstLineChars="200"/>
    </w:pPr>
    <w:rPr>
      <w:rFonts w:hint="default"/>
    </w:rPr>
  </w:style>
  <w:style w:type="paragraph" w:customStyle="1" w:styleId="14">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5">
    <w:name w:val="21"/>
    <w:qFormat/>
    <w:uiPriority w:val="0"/>
    <w:rPr>
      <w:rFonts w:hint="default" w:ascii="Wingdings" w:hAnsi="Wingdings" w:cs="Wingdings"/>
      <w:b/>
      <w:bCs/>
    </w:rPr>
  </w:style>
  <w:style w:type="paragraph" w:customStyle="1" w:styleId="16">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7">
    <w:name w:val="批注框文本 Char"/>
    <w:basedOn w:val="9"/>
    <w:link w:val="4"/>
    <w:qFormat/>
    <w:uiPriority w:val="0"/>
    <w:rPr>
      <w:rFonts w:ascii="宋体" w:hAnsi="宋体"/>
      <w:sz w:val="18"/>
      <w:szCs w:val="18"/>
    </w:rPr>
  </w:style>
  <w:style w:type="paragraph" w:customStyle="1" w:styleId="18">
    <w:name w:val="List Paragraph"/>
    <w:qFormat/>
    <w:uiPriority w:val="99"/>
    <w:pPr>
      <w:ind w:firstLine="420" w:firstLineChars="200"/>
    </w:pPr>
    <w:rPr>
      <w:rFonts w:hint="default" w:ascii="宋体" w:hAnsi="宋体"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3933</Words>
  <Characters>22421</Characters>
  <Lines>186</Lines>
  <Paragraphs>52</Paragraphs>
  <TotalTime>1</TotalTime>
  <ScaleCrop>false</ScaleCrop>
  <LinksUpToDate>false</LinksUpToDate>
  <CharactersWithSpaces>26302</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2025-06-26T07:40:00Z</dcterms:created>
  <dc:creator>Administrator</dc:creator>
  <cp:lastModifiedBy>龚盼</cp:lastModifiedBy>
  <dcterms:modified xsi:type="dcterms:W3CDTF">2025-10-15T02:08:29Z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