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4" w:lineRule="exact"/>
        <w:ind w:firstLine="880" w:firstLineChars="200"/>
        <w:jc w:val="both"/>
        <w:textAlignment w:val="auto"/>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秀山土家族苗族自治县隘口镇卫生院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4" w:lineRule="exact"/>
        <w:jc w:val="center"/>
        <w:textAlignment w:val="auto"/>
        <w:rPr>
          <w:rFonts w:hint="default" w:ascii="Times New Roman" w:hAnsi="Times New Roman" w:eastAsia="方正小标宋_GBK" w:cs="Times New Roman"/>
          <w:sz w:val="44"/>
          <w:szCs w:val="44"/>
          <w:shd w:val="clear" w:color="auto" w:fill="FFFFFF"/>
        </w:rPr>
      </w:pPr>
      <w:r>
        <w:rPr>
          <w:rFonts w:hint="default" w:ascii="Times New Roman" w:hAnsi="Times New Roman" w:eastAsia="方正小标宋_GBK" w:cs="Times New Roman"/>
          <w:sz w:val="44"/>
          <w:szCs w:val="44"/>
          <w:shd w:val="clear" w:color="auto" w:fill="FFFFFF"/>
        </w:rPr>
        <w:t>2024年度决算公开说明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4" w:lineRule="exact"/>
        <w:jc w:val="center"/>
        <w:textAlignment w:val="auto"/>
        <w:rPr>
          <w:rFonts w:hint="default" w:ascii="Times New Roman" w:hAnsi="Times New Roman" w:eastAsia="方正小标宋_GBK" w:cs="Times New Roman"/>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一、</w:t>
      </w:r>
      <w:r>
        <w:rPr>
          <w:rStyle w:val="11"/>
          <w:rFonts w:hint="default" w:ascii="Times New Roman" w:hAnsi="Times New Roman" w:eastAsia="方正黑体_GBK" w:cs="Times New Roman"/>
          <w:b w:val="0"/>
          <w:bCs/>
          <w:sz w:val="32"/>
          <w:szCs w:val="32"/>
          <w:shd w:val="clear" w:color="auto" w:fill="FFFFFF"/>
          <w:lang w:eastAsia="zh-CN"/>
        </w:rPr>
        <w:t>单位</w:t>
      </w:r>
      <w:r>
        <w:rPr>
          <w:rStyle w:val="11"/>
          <w:rFonts w:hint="default" w:ascii="Times New Roman" w:hAnsi="Times New Roman" w:eastAsia="方正黑体_GBK" w:cs="Times New Roman"/>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（一）职能职责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本单位属于基层医疗卫生机构，为非盈利</w:t>
      </w:r>
      <w:r>
        <w:rPr>
          <w:rFonts w:hint="default" w:ascii="Times New Roman" w:hAnsi="Times New Roman" w:eastAsia="方正仿宋_GBK" w:cs="Times New Roman"/>
          <w:sz w:val="32"/>
          <w:szCs w:val="32"/>
          <w:lang w:eastAsia="zh-CN"/>
        </w:rPr>
        <w:t>性</w:t>
      </w:r>
      <w:r>
        <w:rPr>
          <w:rFonts w:hint="default" w:ascii="Times New Roman" w:hAnsi="Times New Roman" w:eastAsia="方正仿宋_GBK" w:cs="Times New Roman"/>
          <w:sz w:val="32"/>
          <w:szCs w:val="32"/>
        </w:rPr>
        <w:t>医疗机构，为居民提供基本医疗和基本公共卫生服务。本单位为乡镇卫生院，应当履行以下职责：</w:t>
      </w: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基本医疗服务：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（1）运用适宜的中</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西医药技术，开展常见病、多发病的诊断和治疗、康复、护理</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（2）提供急救服务，做到24小时应诊，对无条件诊治的及时转诊</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（3）医护人员熟练掌握医疗器械的正确操作、徒手心肺复苏等抢救技术</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2.基本公共卫生服务</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（1）承担疾病预防控制工作，传染病疫情、疾病与突发公共卫生事件及相关信息的报告任务，严格执行法定传染病登记报告制度，认真做好传染病监测、登记、报告工作。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（2）负责预防接种工作。</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rPr>
        <w:t>（3）有针对性地开展慢性非传染性疾病、地方病等的防治、筛查和行为干预，以及对高危人群的监测和管理工</w:t>
      </w:r>
      <w:r>
        <w:rPr>
          <w:rFonts w:hint="default" w:ascii="Times New Roman" w:hAnsi="Times New Roman" w:eastAsia="方正仿宋_GBK" w:cs="Times New Roman"/>
          <w:color w:val="auto"/>
          <w:sz w:val="32"/>
          <w:szCs w:val="32"/>
          <w:lang w:eastAsia="zh-CN"/>
        </w:rPr>
        <w:t>作。</w:t>
      </w:r>
    </w:p>
    <w:p>
      <w:pPr>
        <w:keepNext w:val="0"/>
        <w:keepLines w:val="0"/>
        <w:pageBreakBefore w:val="0"/>
        <w:widowControl/>
        <w:kinsoku/>
        <w:wordWrap w:val="0"/>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cs="Times New Roman"/>
          <w:lang w:eastAsia="zh-CN"/>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lang w:eastAsia="zh-CN"/>
        </w:rPr>
        <w:t>）提供妇女、儿童、老年人等重点人群的保健服务，开展妇幼保健、老年保健、精神卫生等工作的健康指导。</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（5）做好孕产妇保健系统管理和儿童保健系统管理工作。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（6）积极开展农村卫生服务，建立居民健康档案。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（7）健康教育工作积极开展健康教育与健康促进活动，深入村组、家庭、学校，开展健康指导，普及卫生防病知识，提高</w:t>
      </w:r>
      <w:r>
        <w:rPr>
          <w:rFonts w:hint="default" w:ascii="Times New Roman" w:hAnsi="Times New Roman" w:eastAsia="方正仿宋_GBK" w:cs="Times New Roman"/>
          <w:sz w:val="32"/>
          <w:szCs w:val="32"/>
          <w:lang w:eastAsia="zh-CN"/>
        </w:rPr>
        <w:t>辖区</w:t>
      </w:r>
      <w:r>
        <w:rPr>
          <w:rFonts w:hint="default" w:ascii="Times New Roman" w:hAnsi="Times New Roman" w:eastAsia="方正仿宋_GBK" w:cs="Times New Roman"/>
          <w:sz w:val="32"/>
          <w:szCs w:val="32"/>
        </w:rPr>
        <w:t>广大居民基本卫生知识知晓率和健康行为形成率。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（8）计划生育技术及康复服务</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rPr>
        <w:t>（9）开展计划生育咨询、宣传并提供适宜技术服务</w:t>
      </w:r>
      <w:r>
        <w:rPr>
          <w:rFonts w:hint="default" w:ascii="Times New Roman" w:hAnsi="Times New Roman" w:eastAsia="方正仿宋_GBK" w:cs="Times New Roman"/>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（10）按要求提供其他公共卫生服务。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i w:val="0"/>
          <w:caps w:val="0"/>
          <w:color w:val="000000" w:themeColor="text1"/>
          <w:spacing w:val="0"/>
          <w:sz w:val="32"/>
          <w:szCs w:val="32"/>
          <w:shd w:val="clear" w:fill="FFFFFF"/>
          <w14:textFill>
            <w14:solidFill>
              <w14:schemeClr w14:val="tx1"/>
            </w14:solidFill>
          </w14:textFill>
        </w:rPr>
        <w:t>本单位下属内设：党建办公室、办公室、医务科、工会、综合门诊、综合住院部、中医科、理疗康复科、妇科、公共卫生科、检验科、放射科、彩超、心电图、药房、收费室。</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二、</w:t>
      </w:r>
      <w:r>
        <w:rPr>
          <w:rStyle w:val="11"/>
          <w:rFonts w:hint="default" w:ascii="Times New Roman" w:hAnsi="Times New Roman" w:eastAsia="方正黑体_GBK" w:cs="Times New Roman"/>
          <w:b w:val="0"/>
          <w:bCs/>
          <w:sz w:val="32"/>
          <w:szCs w:val="32"/>
          <w:shd w:val="clear" w:color="auto" w:fill="FFFFFF"/>
          <w:lang w:eastAsia="zh-CN"/>
        </w:rPr>
        <w:t>单位</w:t>
      </w:r>
      <w:r>
        <w:rPr>
          <w:rStyle w:val="11"/>
          <w:rFonts w:hint="default" w:ascii="Times New Roman" w:hAnsi="Times New Roman" w:eastAsia="方正黑体_GBK" w:cs="Times New Roman"/>
          <w:b w:val="0"/>
          <w:bCs/>
          <w:sz w:val="32"/>
          <w:szCs w:val="32"/>
          <w:shd w:val="clear" w:color="auto" w:fill="FFFFFF"/>
        </w:rPr>
        <w:t>决算</w:t>
      </w:r>
      <w:r>
        <w:rPr>
          <w:rStyle w:val="11"/>
          <w:rFonts w:hint="default" w:ascii="Times New Roman" w:hAnsi="Times New Roman" w:eastAsia="方正黑体_GBK" w:cs="Times New Roman"/>
          <w:b w:val="0"/>
          <w:bCs/>
          <w:sz w:val="32"/>
          <w:szCs w:val="32"/>
          <w:shd w:val="clear" w:color="auto" w:fill="FFFFFF"/>
          <w:lang w:eastAsia="zh-CN"/>
        </w:rPr>
        <w:t>收支</w:t>
      </w:r>
      <w:r>
        <w:rPr>
          <w:rStyle w:val="11"/>
          <w:rFonts w:hint="default" w:ascii="Times New Roman" w:hAnsi="Times New Roman" w:eastAsia="方正黑体_GBK" w:cs="Times New Roman"/>
          <w:b w:val="0"/>
          <w:bCs/>
          <w:sz w:val="32"/>
          <w:szCs w:val="32"/>
          <w:shd w:val="clear" w:color="auto" w:fill="FFFFFF"/>
        </w:rPr>
        <w:t>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widowControl/>
        <w:shd w:val="clear" w:color="auto" w:fill="FFFFFF"/>
        <w:kinsoku/>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738.35万元。收、支与2023年度相比，减少75.49万元，下降9.3%，主要原因是</w:t>
      </w:r>
      <w:r>
        <w:rPr>
          <w:rFonts w:hint="default" w:ascii="Times New Roman" w:hAnsi="Times New Roman" w:eastAsia="方正仿宋_GBK" w:cs="Times New Roman"/>
          <w:sz w:val="32"/>
          <w:szCs w:val="32"/>
          <w:shd w:val="clear" w:color="auto" w:fill="FFFFFF"/>
          <w:lang w:val="en-US" w:eastAsia="zh-CN"/>
        </w:rPr>
        <w:t>2024年公共卫生经费未全额拨付导致收入较2023年减少；收入减少导致支出减少，主要是</w:t>
      </w:r>
      <w:r>
        <w:rPr>
          <w:rFonts w:hint="default" w:ascii="Times New Roman" w:hAnsi="Times New Roman" w:eastAsia="方正仿宋_GBK" w:cs="Times New Roman"/>
          <w:sz w:val="32"/>
          <w:szCs w:val="32"/>
          <w:shd w:val="clear" w:color="auto" w:fill="FFFFFF"/>
          <w:lang w:eastAsia="zh-CN"/>
        </w:rPr>
        <w:t>职工绩效工资未清算支付。</w:t>
      </w:r>
    </w:p>
    <w:p>
      <w:pPr>
        <w:pStyle w:val="9"/>
        <w:keepNext w:val="0"/>
        <w:keepLines w:val="0"/>
        <w:pageBreakBefore w:val="0"/>
        <w:widowControl/>
        <w:shd w:val="clear" w:color="auto" w:fill="FFFFFF"/>
        <w:kinsoku/>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lang w:val="en-US" w:eastAsia="zh-CN"/>
        </w:rPr>
        <w:t>1</w:t>
      </w:r>
      <w:r>
        <w:rPr>
          <w:rStyle w:val="11"/>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sz w:val="32"/>
          <w:szCs w:val="32"/>
          <w:shd w:val="clear" w:color="auto" w:fill="FFFFFF"/>
        </w:rPr>
        <w:t>2024年度收入合计708.97万元，与2023年度相比，减少100.92万元，下降12.5%，主要原因是</w:t>
      </w:r>
      <w:r>
        <w:rPr>
          <w:rFonts w:hint="default" w:ascii="Times New Roman" w:hAnsi="Times New Roman" w:eastAsia="方正仿宋_GBK" w:cs="Times New Roman"/>
          <w:color w:val="auto"/>
          <w:sz w:val="32"/>
          <w:szCs w:val="32"/>
          <w:shd w:val="clear" w:color="auto" w:fill="FFFFFF"/>
          <w:lang w:eastAsia="zh-CN"/>
        </w:rPr>
        <w:t>公共卫生经费未清算。</w:t>
      </w:r>
      <w:r>
        <w:rPr>
          <w:rFonts w:hint="default" w:ascii="Times New Roman" w:hAnsi="Times New Roman" w:eastAsia="方正仿宋_GBK" w:cs="Times New Roman"/>
          <w:sz w:val="32"/>
          <w:szCs w:val="32"/>
          <w:shd w:val="clear" w:color="auto" w:fill="FFFFFF"/>
        </w:rPr>
        <w:t>其中：财政拨款收入262.43万元，占37.0%；事业收入444.23万元，占62.7%；经营收入0.00万元，占0.0%；其他收入2.31万元，占0.3%。此外，使用非财政拨款结余（含专用结余）0.00万元，年初结转和结余29.39万元。</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lang w:val="en-US" w:eastAsia="zh-CN"/>
        </w:rPr>
        <w:t>2</w:t>
      </w:r>
      <w:r>
        <w:rPr>
          <w:rStyle w:val="11"/>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sz w:val="32"/>
          <w:szCs w:val="32"/>
          <w:shd w:val="clear" w:color="auto" w:fill="FFFFFF"/>
        </w:rPr>
        <w:t>2024年度支出合计738.35万元，与2023年度相比，减少46.11万元，下降5.9%，主要原因是</w:t>
      </w:r>
      <w:r>
        <w:rPr>
          <w:rFonts w:hint="default" w:ascii="Times New Roman" w:hAnsi="Times New Roman" w:eastAsia="方正仿宋_GBK" w:cs="Times New Roman"/>
          <w:color w:val="auto"/>
          <w:sz w:val="32"/>
          <w:szCs w:val="32"/>
          <w:shd w:val="clear" w:color="auto" w:fill="FFFFFF"/>
          <w:lang w:eastAsia="zh-CN"/>
        </w:rPr>
        <w:t>职工绩效工资未清算。</w:t>
      </w:r>
      <w:r>
        <w:rPr>
          <w:rFonts w:hint="default" w:ascii="Times New Roman" w:hAnsi="Times New Roman" w:eastAsia="方正仿宋_GBK" w:cs="Times New Roman"/>
          <w:sz w:val="32"/>
          <w:szCs w:val="32"/>
          <w:shd w:val="clear" w:color="auto" w:fill="FFFFFF"/>
        </w:rPr>
        <w:t>其中：基本支出730.89万元，占99.0%；项目支出7.46万元，占1.0%；经营支出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Style w:val="11"/>
          <w:rFonts w:hint="default" w:ascii="Times New Roman" w:hAnsi="Times New Roman" w:eastAsia="方正仿宋_GBK" w:cs="Times New Roman"/>
          <w:b w:val="0"/>
          <w:bCs/>
          <w:sz w:val="32"/>
          <w:szCs w:val="32"/>
          <w:shd w:val="clear" w:color="auto" w:fill="FFFFFF"/>
          <w:lang w:val="en-US" w:eastAsia="zh-CN"/>
        </w:rPr>
        <w:t>3</w:t>
      </w:r>
      <w:r>
        <w:rPr>
          <w:rStyle w:val="11"/>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2024年度年末结转和结余0.00万元，与2023年度相比，减少29.39万元，下降100.0%，主要原因是</w:t>
      </w:r>
      <w:r>
        <w:rPr>
          <w:rFonts w:hint="default" w:ascii="Times New Roman" w:hAnsi="Times New Roman" w:eastAsia="方正仿宋_GBK" w:cs="Times New Roman"/>
          <w:sz w:val="32"/>
          <w:szCs w:val="32"/>
          <w:shd w:val="clear" w:color="auto" w:fill="FFFFFF"/>
          <w:lang w:val="en-US" w:eastAsia="zh-CN"/>
        </w:rPr>
        <w:t>2024年度所有收入均作支出，无未用完的资金转入结转结余。</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2024年度财政拨款收、支总计均为278.38万元。与2023年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相比，财政拨款收、支总计各减少98.25万元，下降26.1%。主要原因是</w:t>
      </w:r>
      <w:r>
        <w:rPr>
          <w:rFonts w:hint="default" w:ascii="Times New Roman" w:hAnsi="Times New Roman" w:eastAsia="方正仿宋_GBK" w:cs="Times New Roman"/>
          <w:color w:val="auto"/>
          <w:sz w:val="32"/>
          <w:szCs w:val="32"/>
          <w:shd w:val="clear" w:color="auto" w:fill="FFFFFF"/>
          <w:lang w:val="en-US" w:eastAsia="zh-CN"/>
        </w:rPr>
        <w:t>2024年无项目支出及</w:t>
      </w:r>
      <w:r>
        <w:rPr>
          <w:rFonts w:hint="default" w:ascii="Times New Roman" w:hAnsi="Times New Roman" w:eastAsia="方正仿宋_GBK" w:cs="Times New Roman"/>
          <w:color w:val="auto"/>
          <w:sz w:val="32"/>
          <w:szCs w:val="32"/>
          <w:shd w:val="clear" w:color="auto" w:fill="FFFFFF"/>
          <w:lang w:eastAsia="zh-CN"/>
        </w:rPr>
        <w:t>公共卫生经费拨付减少导致收入、支出减少。</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2024年度一般公共预算财政拨款收入262.43万元，与2023年度相比，减少114.20万元，下降30.3%。主要原因</w:t>
      </w:r>
      <w:r>
        <w:rPr>
          <w:rFonts w:hint="default" w:ascii="Times New Roman" w:hAnsi="Times New Roman" w:eastAsia="方正仿宋_GBK" w:cs="Times New Roman"/>
          <w:color w:val="auto"/>
          <w:sz w:val="32"/>
          <w:szCs w:val="32"/>
          <w:shd w:val="clear" w:color="auto" w:fill="FFFFFF"/>
        </w:rPr>
        <w:t>是</w:t>
      </w:r>
      <w:r>
        <w:rPr>
          <w:rFonts w:hint="default" w:ascii="Times New Roman" w:hAnsi="Times New Roman" w:eastAsia="方正仿宋_GBK" w:cs="Times New Roman"/>
          <w:color w:val="auto"/>
          <w:sz w:val="32"/>
          <w:szCs w:val="32"/>
          <w:shd w:val="clear" w:color="auto" w:fill="FFFFFF"/>
          <w:lang w:val="en-US" w:eastAsia="zh-CN"/>
        </w:rPr>
        <w:t>2024年无项目支出及</w:t>
      </w:r>
      <w:r>
        <w:rPr>
          <w:rFonts w:hint="default" w:ascii="Times New Roman" w:hAnsi="Times New Roman" w:eastAsia="方正仿宋_GBK" w:cs="Times New Roman"/>
          <w:color w:val="auto"/>
          <w:sz w:val="32"/>
          <w:szCs w:val="32"/>
          <w:shd w:val="clear" w:color="auto" w:fill="FFFFFF"/>
          <w:lang w:eastAsia="zh-CN"/>
        </w:rPr>
        <w:t>公共卫生经费拨付减少。</w:t>
      </w:r>
      <w:r>
        <w:rPr>
          <w:rFonts w:hint="default" w:ascii="Times New Roman" w:hAnsi="Times New Roman" w:eastAsia="方正仿宋_GBK" w:cs="Times New Roman"/>
          <w:sz w:val="32"/>
          <w:szCs w:val="32"/>
          <w:shd w:val="clear" w:color="auto" w:fill="FFFFFF"/>
        </w:rPr>
        <w:t>较年初预算数增加77.07万元，增长41.6%。主要原因是</w:t>
      </w:r>
      <w:r>
        <w:rPr>
          <w:rFonts w:hint="default" w:ascii="Times New Roman" w:hAnsi="Times New Roman" w:eastAsia="方正仿宋_GBK" w:cs="Times New Roman"/>
          <w:sz w:val="32"/>
          <w:szCs w:val="32"/>
        </w:rPr>
        <w:t>年初预算主要是根据单位情况预估核算，实际财政拨款收入由财政根据资金分配情况统一安排拨款。</w:t>
      </w:r>
      <w:r>
        <w:rPr>
          <w:rFonts w:hint="default" w:ascii="Times New Roman" w:hAnsi="Times New Roman" w:eastAsia="方正仿宋_GBK" w:cs="Times New Roman"/>
          <w:sz w:val="32"/>
          <w:szCs w:val="32"/>
          <w:shd w:val="clear" w:color="auto" w:fill="FFFFFF"/>
        </w:rPr>
        <w:t>此外，年初财政拨款结转和结余15.95万元。</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sz w:val="32"/>
          <w:szCs w:val="32"/>
          <w:shd w:val="clear" w:color="auto" w:fill="FFFFFF"/>
        </w:rPr>
        <w:t>2024年度一般公共预算财政拨款支出278.38万元，与2023年度相比，减少82.30万元，下降22.8%。</w:t>
      </w:r>
      <w:r>
        <w:rPr>
          <w:rFonts w:hint="default" w:ascii="Times New Roman" w:hAnsi="Times New Roman" w:eastAsia="方正仿宋_GBK" w:cs="Times New Roman"/>
          <w:color w:val="auto"/>
          <w:sz w:val="32"/>
          <w:szCs w:val="32"/>
          <w:shd w:val="clear" w:color="auto" w:fill="FFFFFF"/>
        </w:rPr>
        <w:t>主要原因是</w:t>
      </w:r>
      <w:r>
        <w:rPr>
          <w:rFonts w:hint="default" w:ascii="Times New Roman" w:hAnsi="Times New Roman" w:eastAsia="方正仿宋_GBK" w:cs="Times New Roman"/>
          <w:color w:val="auto"/>
          <w:sz w:val="32"/>
          <w:szCs w:val="32"/>
          <w:shd w:val="clear" w:color="auto" w:fill="FFFFFF"/>
          <w:lang w:eastAsia="zh-CN"/>
        </w:rPr>
        <w:t>公共卫生经费拨付减少导致支出资金下降，职工绩效工资支出减少。</w:t>
      </w:r>
      <w:r>
        <w:rPr>
          <w:rFonts w:hint="default" w:ascii="Times New Roman" w:hAnsi="Times New Roman" w:eastAsia="方正仿宋_GBK" w:cs="Times New Roman"/>
          <w:sz w:val="32"/>
          <w:szCs w:val="32"/>
          <w:shd w:val="clear" w:color="auto" w:fill="FFFFFF"/>
        </w:rPr>
        <w:t>较年初预算数增加93.02万元，增长50.2%。主要原因是</w:t>
      </w:r>
      <w:r>
        <w:rPr>
          <w:rFonts w:hint="default" w:ascii="Times New Roman" w:hAnsi="Times New Roman" w:eastAsia="方正仿宋_GBK" w:cs="Times New Roman"/>
          <w:b w:val="0"/>
          <w:bCs w:val="0"/>
          <w:sz w:val="32"/>
          <w:szCs w:val="32"/>
          <w:shd w:val="clear" w:color="auto" w:fill="FFFFFF"/>
        </w:rPr>
        <w:t>是</w:t>
      </w:r>
      <w:r>
        <w:rPr>
          <w:rFonts w:hint="default" w:ascii="Times New Roman" w:hAnsi="Times New Roman" w:eastAsia="方正仿宋_GBK" w:cs="Times New Roman"/>
          <w:sz w:val="32"/>
          <w:szCs w:val="32"/>
        </w:rPr>
        <w:t>根据单位情况预估核算，实际财政拨款收入由财政根据资金分配情况统一安排拨款，因此财政拨款支出与年初预算有相应差异。</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highlight w:val="none"/>
          <w:shd w:val="clear" w:color="auto" w:fill="FFFFFF"/>
        </w:rPr>
      </w:pPr>
      <w:r>
        <w:rPr>
          <w:rFonts w:hint="default" w:ascii="Times New Roman" w:hAnsi="Times New Roman" w:eastAsia="方正仿宋_GBK" w:cs="Times New Roman"/>
          <w:sz w:val="32"/>
          <w:szCs w:val="32"/>
          <w:highlight w:val="none"/>
          <w:shd w:val="clear" w:color="auto" w:fill="FFFFFF"/>
        </w:rPr>
        <w:t>一般公共预算财政拨款支出主要</w:t>
      </w:r>
      <w:r>
        <w:rPr>
          <w:rFonts w:hint="default" w:ascii="Times New Roman" w:hAnsi="Times New Roman" w:eastAsia="方正仿宋_GBK" w:cs="Times New Roman"/>
          <w:sz w:val="32"/>
          <w:szCs w:val="32"/>
          <w:highlight w:val="none"/>
          <w:shd w:val="clear" w:color="auto" w:fill="FFFFFF"/>
          <w:lang w:eastAsia="zh-CN"/>
        </w:rPr>
        <w:t>用途如下</w:t>
      </w:r>
      <w:r>
        <w:rPr>
          <w:rFonts w:hint="default" w:ascii="Times New Roman" w:hAnsi="Times New Roman" w:eastAsia="方正仿宋_GBK" w:cs="Times New Roman"/>
          <w:sz w:val="32"/>
          <w:szCs w:val="32"/>
          <w:highlight w:val="none"/>
          <w:shd w:val="clear" w:color="auto" w:fill="FFFFFF"/>
        </w:rPr>
        <w:t>：</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（1）社会保障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就业支出35.38万元，占12.7%，较年初预算数增加9.36万元，增长36.0%，主要原因是</w:t>
      </w:r>
      <w:r>
        <w:rPr>
          <w:rFonts w:hint="default" w:ascii="Times New Roman" w:hAnsi="Times New Roman" w:eastAsia="方正仿宋_GBK" w:cs="Times New Roman"/>
          <w:sz w:val="32"/>
          <w:szCs w:val="32"/>
          <w:shd w:val="clear" w:color="auto" w:fill="FFFFFF"/>
          <w:lang w:eastAsia="zh-CN"/>
        </w:rPr>
        <w:t>在编人员社保基数调整，</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导致实际支出高于年初预算数。</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）卫生健康支出232.82万元，占83.6%，较年初预算数增加83.65万元，增长56.1%，主要原因是</w:t>
      </w:r>
      <w:r>
        <w:rPr>
          <w:rFonts w:hint="default" w:ascii="Times New Roman" w:hAnsi="Times New Roman" w:eastAsia="方正仿宋_GBK" w:cs="Times New Roman"/>
          <w:b w:val="0"/>
          <w:bCs w:val="0"/>
          <w:sz w:val="32"/>
          <w:szCs w:val="32"/>
          <w:shd w:val="clear" w:color="auto" w:fill="FFFFFF"/>
          <w:lang w:val="en-US" w:eastAsia="zh-CN"/>
        </w:rPr>
        <w:t>2024年在编人员工资、社保等增加，导致人员配套支出增加；</w:t>
      </w:r>
      <w:r>
        <w:rPr>
          <w:rFonts w:hint="default" w:ascii="Times New Roman" w:hAnsi="Times New Roman" w:eastAsia="方正仿宋_GBK" w:cs="Times New Roman"/>
          <w:b w:val="0"/>
          <w:bCs w:val="0"/>
          <w:sz w:val="32"/>
          <w:szCs w:val="32"/>
          <w:shd w:val="clear" w:color="auto" w:fill="FFFFFF"/>
        </w:rPr>
        <w:t>年初预算数</w:t>
      </w:r>
      <w:r>
        <w:rPr>
          <w:rFonts w:hint="default" w:ascii="Times New Roman" w:hAnsi="Times New Roman" w:eastAsia="方正仿宋_GBK" w:cs="Times New Roman"/>
          <w:sz w:val="32"/>
          <w:szCs w:val="32"/>
        </w:rPr>
        <w:t>根据单位情况预估核算，实际财政拨款收入由财政根据资金分配情况统一安排拨款</w:t>
      </w:r>
      <w:r>
        <w:rPr>
          <w:rFonts w:hint="default" w:ascii="Times New Roman" w:hAnsi="Times New Roman" w:eastAsia="方正仿宋_GBK" w:cs="Times New Roman"/>
          <w:sz w:val="32"/>
          <w:szCs w:val="32"/>
          <w:lang w:eastAsia="zh-CN"/>
        </w:rPr>
        <w:t>支出</w:t>
      </w:r>
      <w:r>
        <w:rPr>
          <w:rFonts w:hint="default" w:ascii="Times New Roman" w:hAnsi="Times New Roman" w:eastAsia="方正仿宋_GBK" w:cs="Times New Roman"/>
          <w:sz w:val="32"/>
          <w:szCs w:val="32"/>
        </w:rPr>
        <w:t>，因此</w:t>
      </w:r>
      <w:r>
        <w:rPr>
          <w:rFonts w:hint="default" w:ascii="Times New Roman" w:hAnsi="Times New Roman" w:eastAsia="方正仿宋_GBK" w:cs="Times New Roman"/>
          <w:sz w:val="32"/>
          <w:szCs w:val="32"/>
          <w:lang w:eastAsia="zh-CN"/>
        </w:rPr>
        <w:t>卫生健康</w:t>
      </w:r>
      <w:r>
        <w:rPr>
          <w:rFonts w:hint="default" w:ascii="Times New Roman" w:hAnsi="Times New Roman" w:eastAsia="方正仿宋_GBK" w:cs="Times New Roman"/>
          <w:sz w:val="32"/>
          <w:szCs w:val="32"/>
        </w:rPr>
        <w:t>支出与年初预算有相应差异。</w:t>
      </w:r>
    </w:p>
    <w:p>
      <w:pPr>
        <w:keepNext w:val="0"/>
        <w:keepLines w:val="0"/>
        <w:pageBreakBefore w:val="0"/>
        <w:widowControl/>
        <w:kinsoku/>
        <w:overflowPunct/>
        <w:topLinePunct w:val="0"/>
        <w:autoSpaceDN/>
        <w:bidi w:val="0"/>
        <w:adjustRightInd/>
        <w:spacing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10.17万元，占3.7%，较年初预算数无增减，主要原因是</w:t>
      </w:r>
      <w:r>
        <w:rPr>
          <w:rFonts w:hint="default" w:ascii="Times New Roman" w:hAnsi="Times New Roman" w:eastAsia="方正仿宋_GBK" w:cs="Times New Roman"/>
          <w:color w:val="auto"/>
          <w:sz w:val="32"/>
          <w:szCs w:val="32"/>
          <w:shd w:val="clear" w:color="auto" w:fill="FFFFFF"/>
          <w:lang w:eastAsia="zh-CN"/>
        </w:rPr>
        <w:t>年初编制预算较为准确，预算额度与需求相符。</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shd w:val="clear" w:color="auto" w:fill="FFFFFF"/>
          <w:lang w:val="en-US" w:eastAsia="zh-CN"/>
        </w:rPr>
      </w:pPr>
      <w:r>
        <w:rPr>
          <w:rStyle w:val="11"/>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2024年度年末一般公共预算财政拨款结转和结余0.00万元，与2023年度相比，减少15.95万元，下降100.0%，主要原因是</w:t>
      </w:r>
      <w:r>
        <w:rPr>
          <w:rFonts w:hint="default" w:ascii="Times New Roman" w:hAnsi="Times New Roman" w:eastAsia="方正仿宋_GBK" w:cs="Times New Roman"/>
          <w:color w:val="auto"/>
          <w:sz w:val="32"/>
          <w:szCs w:val="32"/>
          <w:shd w:val="clear" w:color="auto" w:fill="FFFFFF"/>
          <w:lang w:val="en-US" w:eastAsia="zh-CN"/>
        </w:rPr>
        <w:t>2023年结转结余为职工超额绩效工资，2024年无类似情况作结转结余，导致2024年结转和结余为0，下降100%。</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2024年度一般公共财政拨款基本支出270.92万元。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其中：</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人员经费270.92万元，与2023年度相比，减少4.76万元，下降1.7%，主要原因是</w:t>
      </w:r>
      <w:r>
        <w:rPr>
          <w:rFonts w:hint="default" w:ascii="Times New Roman" w:hAnsi="Times New Roman" w:eastAsia="方正仿宋_GBK" w:cs="Times New Roman"/>
          <w:sz w:val="32"/>
          <w:szCs w:val="32"/>
          <w:shd w:val="clear" w:color="auto" w:fill="FFFFFF"/>
          <w:lang w:eastAsia="zh-CN"/>
        </w:rPr>
        <w:t>人员基本工资及津补贴减少导致人员经费下降。</w:t>
      </w:r>
      <w:r>
        <w:rPr>
          <w:rFonts w:hint="default" w:ascii="Times New Roman" w:hAnsi="Times New Roman" w:eastAsia="方正仿宋_GBK" w:cs="Times New Roman"/>
          <w:sz w:val="32"/>
          <w:szCs w:val="32"/>
          <w:shd w:val="clear" w:color="auto" w:fill="FFFFFF"/>
        </w:rPr>
        <w:t>人员经费用途主要包括</w:t>
      </w:r>
      <w:r>
        <w:rPr>
          <w:rFonts w:hint="default" w:ascii="Times New Roman" w:hAnsi="Times New Roman" w:eastAsia="方正仿宋_GBK" w:cs="Times New Roman"/>
          <w:b w:val="0"/>
          <w:bCs w:val="0"/>
          <w:sz w:val="32"/>
          <w:szCs w:val="32"/>
          <w:shd w:val="clear" w:color="auto" w:fill="FFFFFF"/>
          <w:lang w:eastAsia="zh-CN"/>
        </w:rPr>
        <w:t>人员基本工资、津补贴、绩效、社保、公积金等支出。</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shd w:val="clear" w:color="auto" w:fill="FFFFFF"/>
        </w:rPr>
        <w:t>公用经费0.00万元，与2023年度相比，减少64.94万元，下降100.0%，主要原因是</w:t>
      </w:r>
      <w:r>
        <w:rPr>
          <w:rFonts w:hint="default" w:ascii="Times New Roman" w:hAnsi="Times New Roman" w:eastAsia="方正仿宋_GBK" w:cs="Times New Roman"/>
          <w:color w:val="auto"/>
          <w:sz w:val="32"/>
          <w:szCs w:val="32"/>
          <w:shd w:val="clear" w:color="auto" w:fill="FFFFFF"/>
          <w:lang w:eastAsia="zh-CN"/>
        </w:rPr>
        <w:t>公共卫生经费减少，账目调整无一般公共预算财政拨款</w:t>
      </w:r>
      <w:r>
        <w:rPr>
          <w:rFonts w:hint="default" w:ascii="Times New Roman" w:hAnsi="Times New Roman" w:eastAsia="方正仿宋_GBK" w:cs="Times New Roman"/>
          <w:color w:val="auto"/>
          <w:sz w:val="32"/>
          <w:szCs w:val="32"/>
          <w:shd w:val="clear" w:color="auto" w:fill="FFFFFF"/>
        </w:rPr>
        <w:t>公用经费用</w:t>
      </w:r>
      <w:r>
        <w:rPr>
          <w:rFonts w:hint="default" w:ascii="Times New Roman" w:hAnsi="Times New Roman" w:eastAsia="方正仿宋_GBK" w:cs="Times New Roman"/>
          <w:color w:val="auto"/>
          <w:sz w:val="32"/>
          <w:szCs w:val="32"/>
          <w:shd w:val="clear" w:color="auto" w:fill="FFFFFF"/>
          <w:lang w:eastAsia="zh-CN"/>
        </w:rPr>
        <w:t>支出。</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keepNext w:val="0"/>
        <w:keepLines w:val="0"/>
        <w:pageBreakBefore w:val="0"/>
        <w:widowControl/>
        <w:kinsoku/>
        <w:overflowPunct/>
        <w:topLinePunct w:val="0"/>
        <w:autoSpaceDN/>
        <w:bidi w:val="0"/>
        <w:adjustRightInd/>
        <w:spacing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2024年度无政府性基金预算财政拨款收支。</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2024年度无</w:t>
      </w:r>
      <w:r>
        <w:rPr>
          <w:rFonts w:hint="default" w:ascii="Times New Roman" w:hAnsi="Times New Roman" w:eastAsia="方正仿宋_GBK" w:cs="Times New Roman"/>
          <w:sz w:val="32"/>
          <w:szCs w:val="32"/>
          <w:lang w:eastAsia="zh-CN"/>
        </w:rPr>
        <w:t>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w:t>
      </w:r>
      <w:r>
        <w:rPr>
          <w:rStyle w:val="11"/>
          <w:rFonts w:hint="default" w:ascii="Times New Roman" w:hAnsi="Times New Roman" w:eastAsia="方正黑体_GBK" w:cs="Times New Roman"/>
          <w:b w:val="0"/>
          <w:bCs/>
          <w:sz w:val="32"/>
          <w:szCs w:val="32"/>
          <w:shd w:val="clear" w:color="auto" w:fill="FFFFFF"/>
          <w:lang w:eastAsia="zh-CN"/>
        </w:rPr>
        <w:t>财政拨款</w:t>
      </w:r>
      <w:r>
        <w:rPr>
          <w:rStyle w:val="11"/>
          <w:rFonts w:hint="default" w:ascii="Times New Roman" w:hAnsi="Times New Roman" w:eastAsia="方正黑体_GBK" w:cs="Times New Roman"/>
          <w:b w:val="0"/>
          <w:bCs/>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本单位属于差额拨款事业单位，未使用财政资金保障“三公”经费。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4"/>
        <w:keepNext w:val="0"/>
        <w:keepLines w:val="0"/>
        <w:pageBreakBefore w:val="0"/>
        <w:widowControl/>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人均接待费0元，车均购置费0万元，车均维护费0万元。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val="0"/>
          <w:color w:val="000000" w:themeColor="text1"/>
          <w:sz w:val="32"/>
          <w:szCs w:val="32"/>
          <w:lang w:eastAsia="zh-CN"/>
          <w14:textFill>
            <w14:solidFill>
              <w14:schemeClr w14:val="tx1"/>
            </w14:solidFill>
          </w14:textFill>
        </w:rPr>
        <w:t>本单位属于差额拨款事业单位，财政未保障本单位会议费和培训费。</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auto"/>
          <w:sz w:val="32"/>
          <w:szCs w:val="32"/>
          <w:highlight w:val="yellow"/>
        </w:rPr>
      </w:pPr>
      <w:r>
        <w:rPr>
          <w:rFonts w:hint="default" w:ascii="Times New Roman" w:hAnsi="Times New Roman" w:eastAsia="方正仿宋_GBK" w:cs="Times New Roman"/>
          <w:sz w:val="32"/>
          <w:szCs w:val="32"/>
          <w:lang w:eastAsia="zh-CN"/>
        </w:rPr>
        <w:t>按照部门决算列报口径，本单位不在机关运行经费统计范围之内。</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pPr>
        <w:pStyle w:val="9"/>
        <w:keepNext w:val="0"/>
        <w:keepLines w:val="0"/>
        <w:pageBreakBefore w:val="0"/>
        <w:widowControl/>
        <w:kinsoku/>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截至2024年12月31日，本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共有车辆1辆，其中，副部（省）级及以上领导用车0辆、主要负责人用车0辆、机要通信用车0辆、应急保障用车0辆、执法执勤用车0辆，特种专业技术用车1辆，离退休干部用车0辆。单价100万元（含）以上专用设备0台（套）。</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政府采购支出总额1.83万元，其中：政府采购货物支出1.83万元、政府采购工程支出0.00万元、政府采购服务支出0.00万元。授予中小企业合同金额1.83</w:t>
      </w:r>
      <w:r>
        <w:rPr>
          <w:rFonts w:hint="default" w:ascii="Times New Roman" w:hAnsi="Times New Roman" w:eastAsia="方正仿宋_GBK" w:cs="Times New Roman"/>
          <w:sz w:val="32"/>
          <w:szCs w:val="32"/>
        </w:rPr>
        <w:t>万</w:t>
      </w:r>
      <w:r>
        <w:rPr>
          <w:rFonts w:hint="default" w:ascii="Times New Roman" w:hAnsi="Times New Roman" w:eastAsia="方正仿宋_GBK" w:cs="Times New Roman"/>
          <w:sz w:val="32"/>
          <w:szCs w:val="32"/>
          <w:shd w:val="clear" w:color="auto" w:fill="FFFFFF"/>
        </w:rPr>
        <w:t>元，占政府采购支出总额的100.0%，其中：授予小微企业合同金额1.83万元，占政府采购支出总额的100.0 %。主要用于采购</w:t>
      </w:r>
      <w:r>
        <w:rPr>
          <w:rFonts w:hint="default" w:ascii="Times New Roman" w:hAnsi="Times New Roman" w:eastAsia="方正仿宋_GBK" w:cs="Times New Roman"/>
          <w:sz w:val="32"/>
          <w:szCs w:val="32"/>
          <w:shd w:val="clear" w:color="auto" w:fill="FFFFFF"/>
          <w:lang w:eastAsia="zh-CN"/>
        </w:rPr>
        <w:t>墨盒、粉盒等办公耗材费用。</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val="0"/>
          <w:sz w:val="32"/>
          <w:szCs w:val="32"/>
          <w:shd w:val="clear" w:color="auto" w:fill="FFFFFF"/>
        </w:rPr>
      </w:pPr>
      <w:r>
        <w:rPr>
          <w:rStyle w:val="11"/>
          <w:rFonts w:hint="default" w:ascii="Times New Roman" w:hAnsi="Times New Roman" w:eastAsia="方正黑体_GBK" w:cs="Times New Roman"/>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kern w:val="0"/>
          <w:sz w:val="32"/>
          <w:szCs w:val="32"/>
          <w:lang w:val="en-US"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948" w:tblpY="35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适龄儿童国家免疫规划疫苗接种</w:t>
            </w:r>
            <w:r>
              <w:rPr>
                <w:rFonts w:hint="default" w:ascii="Times New Roman" w:hAnsi="Times New Roman" w:eastAsia="方正仿宋_GBK" w:cs="Times New Roman"/>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19"/>
        <w:keepNext w:val="0"/>
        <w:keepLines w:val="0"/>
        <w:pageBreakBefore w:val="0"/>
        <w:widowControl/>
        <w:kinsoku/>
        <w:overflowPunct/>
        <w:topLinePunct w:val="0"/>
        <w:autoSpaceDE w:val="0"/>
        <w:autoSpaceDN/>
        <w:bidi w:val="0"/>
        <w:spacing w:line="560" w:lineRule="exact"/>
        <w:ind w:firstLine="640" w:firstLineChars="200"/>
        <w:jc w:val="both"/>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六</w:t>
      </w:r>
      <w:r>
        <w:rPr>
          <w:rStyle w:val="11"/>
          <w:rFonts w:hint="default" w:ascii="Times New Roman" w:hAnsi="Times New Roman" w:eastAsia="方正黑体_GBK" w:cs="Times New Roman"/>
          <w:b w:val="0"/>
          <w:bCs/>
          <w:sz w:val="32"/>
          <w:szCs w:val="32"/>
          <w:shd w:val="clear" w:color="auto" w:fill="FFFFFF"/>
        </w:rPr>
        <w:t>、专业名词解释</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sz w:val="32"/>
          <w:szCs w:val="32"/>
          <w:shd w:val="clear" w:color="auto" w:fill="FFFFFF"/>
        </w:rPr>
        <w:t>（一）财政拨款收入：</w:t>
      </w:r>
      <w:r>
        <w:rPr>
          <w:rFonts w:hint="default" w:ascii="Times New Roman" w:hAnsi="Times New Roman" w:eastAsia="方正仿宋_GBK" w:cs="Times New Roman"/>
          <w:sz w:val="32"/>
          <w:szCs w:val="32"/>
          <w:shd w:val="clear" w:color="auto" w:fill="FFFFFF"/>
        </w:rPr>
        <w:t>指本年度从本级财政部门取得的财政拨款。</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（二）事业收入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指事业单位开展专业业务活动及其辅助活动取得的</w:t>
      </w:r>
      <w:r>
        <w:rPr>
          <w:rFonts w:hint="default" w:ascii="Times New Roman" w:hAnsi="Times New Roman" w:eastAsia="方正仿宋_GBK" w:cs="Times New Roman"/>
          <w:sz w:val="32"/>
          <w:szCs w:val="32"/>
          <w:shd w:val="clear" w:color="auto" w:fill="FFFFFF"/>
          <w:lang w:eastAsia="zh-CN"/>
        </w:rPr>
        <w:t>收入</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（三）经营收入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指事业单位在专业业务活动及其辅助活动之外开展非独立核算经营活动取得的</w:t>
      </w:r>
      <w:r>
        <w:rPr>
          <w:rFonts w:hint="default" w:ascii="Times New Roman" w:hAnsi="Times New Roman" w:eastAsia="方正仿宋_GBK" w:cs="Times New Roman"/>
          <w:sz w:val="32"/>
          <w:szCs w:val="32"/>
          <w:shd w:val="clear" w:color="auto" w:fill="FFFFFF"/>
          <w:lang w:eastAsia="zh-CN"/>
        </w:rPr>
        <w:t>收入</w:t>
      </w:r>
      <w:r>
        <w:rPr>
          <w:rFonts w:hint="default" w:ascii="Times New Roman" w:hAnsi="Times New Roman" w:eastAsia="方正仿宋_GBK" w:cs="Times New Roman"/>
          <w:sz w:val="32"/>
          <w:szCs w:val="32"/>
          <w:shd w:val="clear" w:color="auto" w:fill="FFFFFF"/>
        </w:rPr>
        <w:t>。</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（四）其他收入</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（五）使用非财政拨款结余</w:t>
      </w:r>
      <w:r>
        <w:rPr>
          <w:rStyle w:val="11"/>
          <w:rFonts w:hint="default" w:ascii="Times New Roman" w:hAnsi="Times New Roman" w:eastAsia="方正楷体_GBK" w:cs="Times New Roman"/>
          <w:b w:val="0"/>
          <w:bCs/>
          <w:sz w:val="32"/>
          <w:szCs w:val="32"/>
          <w:shd w:val="clear" w:color="auto" w:fill="FFFFFF"/>
          <w:lang w:eastAsia="zh-CN"/>
        </w:rPr>
        <w:t>（含专用结余）</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w:t>
      </w:r>
      <w:r>
        <w:rPr>
          <w:rFonts w:hint="default" w:ascii="Times New Roman" w:hAnsi="Times New Roman" w:eastAsia="方正仿宋_GBK" w:cs="Times New Roman"/>
          <w:sz w:val="32"/>
          <w:szCs w:val="32"/>
          <w:shd w:val="clear" w:color="auto" w:fill="FFFFFF"/>
          <w:lang w:eastAsia="zh-CN"/>
        </w:rPr>
        <w:t>事业单位按照预算管理要求使用非财政拨款结余弥补收支差额的金额，以及使用专用结余安排支出的金额。</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（六）年初结转和结余</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指单位上年结转本年使用的基本支出结转、项目支出结转和结余、经营结余。</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（七）结余分配</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（八）年末结转和结余</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指单位结转下年的基本支出结转、项目支出结转和结余、经营结余。</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（九）基本支出</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（十）项目支出</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指在基本支出之外为完成特定行政任务和事业发展目标所发生的支出。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（十一）经营支出</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（十二）“三公”经费</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（十三）机关运行经费</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（十四）工资福利支出（支出经济分类科目类级）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（十五）商品和服务支出（支出经济分类科目类级）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楷体_GBK" w:cs="Times New Roman"/>
          <w:b w:val="0"/>
          <w:bCs/>
          <w:sz w:val="32"/>
          <w:szCs w:val="32"/>
          <w:shd w:val="clear" w:color="auto" w:fill="FFFFFF"/>
        </w:rPr>
        <w:t>（十六）对个人和家庭的补助（支出经济分类科目类级）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反映用于对个人和家庭的补助支出。</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楷体_GBK" w:cs="Times New Roman"/>
          <w:b w:val="0"/>
          <w:bCs/>
          <w:sz w:val="32"/>
          <w:szCs w:val="32"/>
          <w:shd w:val="clear" w:color="auto" w:fill="FFFFFF"/>
        </w:rPr>
        <w:t>（十七）其他资本性支出（支出经济分类科目类级）</w:t>
      </w:r>
      <w:r>
        <w:rPr>
          <w:rFonts w:hint="default" w:ascii="Times New Roman" w:hAnsi="Times New Roman" w:eastAsia="方正楷体_GBK" w:cs="Times New Roman"/>
          <w:b w:val="0"/>
          <w:bCs/>
          <w:sz w:val="32"/>
          <w:szCs w:val="32"/>
          <w:shd w:val="clear" w:color="auto" w:fill="FFFFFF"/>
        </w:rPr>
        <w:t>：</w:t>
      </w:r>
      <w:r>
        <w:rPr>
          <w:rFonts w:hint="default" w:ascii="Times New Roman" w:hAnsi="Times New Roman" w:eastAsia="方正仿宋_GBK" w:cs="Times New Roman"/>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七</w:t>
      </w:r>
      <w:r>
        <w:rPr>
          <w:rStyle w:val="11"/>
          <w:rFonts w:hint="default" w:ascii="Times New Roman" w:hAnsi="Times New Roman" w:eastAsia="方正黑体_GBK" w:cs="Times New Roman"/>
          <w:b w:val="0"/>
          <w:bCs/>
          <w:sz w:val="32"/>
          <w:szCs w:val="32"/>
          <w:shd w:val="clear" w:color="auto" w:fill="FFFFFF"/>
        </w:rPr>
        <w:t>、决算公开联系方式及信息反馈渠道</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决算公开信息反馈和联系方式</w:t>
      </w:r>
      <w:r>
        <w:rPr>
          <w:rFonts w:hint="default" w:ascii="Times New Roman" w:hAnsi="Times New Roman" w:eastAsia="方正仿宋_GBK" w:cs="Times New Roman"/>
          <w:sz w:val="32"/>
          <w:szCs w:val="32"/>
          <w:shd w:val="clear" w:color="auto" w:fill="FFFFFF"/>
          <w:lang w:eastAsia="zh-CN"/>
        </w:rPr>
        <w:t>：</w:t>
      </w:r>
    </w:p>
    <w:p>
      <w:pPr>
        <w:pStyle w:val="9"/>
        <w:keepNext w:val="0"/>
        <w:keepLines w:val="0"/>
        <w:pageBreakBefore w:val="0"/>
        <w:widowControl/>
        <w:kinsoku/>
        <w:overflowPunct/>
        <w:topLinePunct w:val="0"/>
        <w:autoSpaceDN/>
        <w:bidi w:val="0"/>
        <w:snapToGrid w:val="0"/>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shd w:val="clear" w:color="auto" w:fill="FFFFFF"/>
          <w:lang w:eastAsia="zh-CN"/>
        </w:rPr>
        <w:t>黄甜</w:t>
      </w:r>
      <w:r>
        <w:rPr>
          <w:rFonts w:hint="default" w:ascii="Times New Roman" w:hAnsi="Times New Roman" w:eastAsia="方正仿宋_GBK" w:cs="Times New Roman"/>
          <w:sz w:val="32"/>
          <w:szCs w:val="32"/>
          <w:shd w:val="clear" w:color="auto" w:fill="FFFFFF"/>
          <w:lang w:val="en-US" w:eastAsia="zh-CN"/>
        </w:rPr>
        <w:t xml:space="preserve">  023-76620965</w:t>
      </w:r>
    </w:p>
    <w:p>
      <w:pPr>
        <w:pStyle w:val="14"/>
        <w:keepNext w:val="0"/>
        <w:keepLines w:val="0"/>
        <w:pageBreakBefore w:val="0"/>
        <w:widowControl/>
        <w:kinsoku/>
        <w:wordWrap/>
        <w:overflowPunct/>
        <w:topLinePunct w:val="0"/>
        <w:autoSpaceDE w:val="0"/>
        <w:autoSpaceDN/>
        <w:bidi w:val="0"/>
        <w:adjustRightInd/>
        <w:spacing w:beforeAutospacing="0" w:afterAutospacing="0" w:line="560" w:lineRule="exact"/>
        <w:ind w:firstLine="643" w:firstLineChars="200"/>
        <w:jc w:val="both"/>
        <w:textAlignment w:val="auto"/>
        <w:rPr>
          <w:rStyle w:val="11"/>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Times New Roman"/>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公开01表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r>
              <w:rPr>
                <w:rFonts w:hint="default" w:ascii="Times New Roman" w:hAnsi="Times New Roman" w:cs="Times New Roman"/>
                <w:sz w:val="20"/>
                <w:szCs w:val="20"/>
              </w:rPr>
              <w:t>单位：</w:t>
            </w:r>
            <w:r>
              <w:rPr>
                <w:rFonts w:hint="default" w:ascii="Times New Roman" w:hAnsi="Times New Roman" w:cs="Times New Roman"/>
                <w:sz w:val="20"/>
                <w:u w:color="auto"/>
              </w:rPr>
              <w:t>秀山土家族苗族自治县隘口镇卫生院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262.43</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444.23</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2.31</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35.38</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692.80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Times New Roman"/>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708.97</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738.35</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29.39</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Times New Roman"/>
                <w:b/>
                <w:bCs/>
                <w:color w:val="000000"/>
                <w:sz w:val="20"/>
                <w:szCs w:val="20"/>
              </w:rPr>
            </w:pPr>
            <w:r>
              <w:rPr>
                <w:rFonts w:hint="default" w:ascii="Times New Roman" w:hAnsi="Times New Roman" w:cs="Times New Roman"/>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738.35</w:t>
            </w:r>
            <w:r>
              <w:rPr>
                <w:rFonts w:hint="default" w:ascii="Times New Roman" w:hAnsi="Times New Roman" w:cs="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738.35</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p>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236"/>
        <w:gridCol w:w="1365"/>
        <w:gridCol w:w="1245"/>
        <w:gridCol w:w="1320"/>
        <w:gridCol w:w="1098"/>
        <w:gridCol w:w="1422"/>
        <w:gridCol w:w="1157"/>
        <w:gridCol w:w="1753"/>
        <w:gridCol w:w="1270"/>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238"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sz w:val="20"/>
                <w:u w:color="auto"/>
              </w:rPr>
              <w:t>秀山土家族苗族自治县隘口镇卫生院</w:t>
            </w:r>
          </w:p>
        </w:tc>
        <w:tc>
          <w:tcPr>
            <w:tcW w:w="124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09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2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1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7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公开02表</w:t>
            </w:r>
          </w:p>
        </w:tc>
      </w:tr>
      <w:tr>
        <w:tblPrEx>
          <w:tblLayout w:type="fixed"/>
          <w:tblCellMar>
            <w:top w:w="0" w:type="dxa"/>
            <w:left w:w="0" w:type="dxa"/>
            <w:bottom w:w="0" w:type="dxa"/>
            <w:right w:w="0" w:type="dxa"/>
          </w:tblCellMar>
        </w:tblPrEx>
        <w:trPr>
          <w:trHeight w:val="328" w:hRule="atLeast"/>
        </w:trPr>
        <w:tc>
          <w:tcPr>
            <w:tcW w:w="6238"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4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098"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42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1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53"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270"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23" w:hRule="atLeast"/>
        </w:trPr>
        <w:tc>
          <w:tcPr>
            <w:tcW w:w="487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tLeast"/>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3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本年收入合计</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财政拨款收入</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上级补助收入</w:t>
            </w:r>
          </w:p>
        </w:tc>
        <w:tc>
          <w:tcPr>
            <w:tcW w:w="25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tLeast"/>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事业收入</w:t>
            </w:r>
          </w:p>
        </w:tc>
        <w:tc>
          <w:tcPr>
            <w:tcW w:w="11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经营收入</w:t>
            </w:r>
          </w:p>
        </w:tc>
        <w:tc>
          <w:tcPr>
            <w:tcW w:w="175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附属单位上缴收入</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23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小计</w:t>
            </w:r>
          </w:p>
        </w:tc>
        <w:tc>
          <w:tcPr>
            <w:tcW w:w="142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其中：教育收费</w:t>
            </w: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40" w:lineRule="atLeas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3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3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3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42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1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266" w:hRule="atLeast"/>
        </w:trPr>
        <w:tc>
          <w:tcPr>
            <w:tcW w:w="48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3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708.97</w:t>
            </w:r>
            <w:r>
              <w:rPr>
                <w:rFonts w:hint="default" w:ascii="Times New Roman" w:hAnsi="Times New Roman" w:cs="Times New Roman"/>
                <w:b/>
                <w:color w:val="000000"/>
                <w:sz w:val="20"/>
                <w:u w:color="auto"/>
              </w:rPr>
              <w:t xml:space="preserve"> </w:t>
            </w:r>
          </w:p>
        </w:tc>
        <w:tc>
          <w:tcPr>
            <w:tcW w:w="12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262.43</w:t>
            </w:r>
            <w:r>
              <w:rPr>
                <w:rFonts w:hint="default" w:ascii="Times New Roman" w:hAnsi="Times New Roman" w:cs="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444.23</w:t>
            </w:r>
            <w:r>
              <w:rPr>
                <w:rFonts w:hint="default" w:ascii="Times New Roman" w:hAnsi="Times New Roman" w:cs="Times New Roman"/>
                <w:b/>
                <w:color w:val="000000"/>
                <w:sz w:val="20"/>
                <w:u w:color="auto"/>
              </w:rPr>
              <w:t xml:space="preserve"> </w:t>
            </w:r>
          </w:p>
        </w:tc>
        <w:tc>
          <w:tcPr>
            <w:tcW w:w="142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2.31</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8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663.42</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216.88</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444.23</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2.31</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605.65</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159.12</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444.23</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2.31</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602.05</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155.52</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444.23</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2.31</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突发公共卫生事件应急处置</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8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2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8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2101199</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其他行政事业单位医疗支出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5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3"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2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0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4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1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2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ind w:left="600" w:hanging="600" w:hangingChars="300"/>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备注：1.本表反映单位本年度取得的各项收入情况。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rPr>
                <w:rFonts w:hint="default" w:ascii="Times New Roman" w:hAnsi="Times New Roman" w:cs="Times New Roman"/>
                <w:b/>
                <w:color w:val="000000"/>
                <w:sz w:val="32"/>
                <w:szCs w:val="32"/>
              </w:rPr>
            </w:pPr>
            <w:r>
              <w:rPr>
                <w:rFonts w:hint="default" w:ascii="Times New Roman" w:hAnsi="Times New Roman" w:cs="Times New Roman"/>
                <w:sz w:val="20"/>
                <w:szCs w:val="20"/>
              </w:rPr>
              <w:br w:type="page"/>
            </w:r>
            <w:r>
              <w:rPr>
                <w:rFonts w:hint="default" w:ascii="Times New Roman" w:hAnsi="Times New Roman" w:cs="Times New Roman"/>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 xml:space="preserve">秀山土家族苗族自治县隘口镇卫生院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公开03表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7"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00" w:lineRule="exact"/>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257"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738.35</w:t>
            </w:r>
            <w:r>
              <w:rPr>
                <w:rFonts w:hint="default" w:ascii="Times New Roman" w:hAnsi="Times New Roman" w:cs="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730.89</w:t>
            </w:r>
            <w:r>
              <w:rPr>
                <w:rFonts w:hint="default" w:ascii="Times New Roman" w:hAnsi="Times New Roman" w:cs="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7.46</w:t>
            </w:r>
            <w:r>
              <w:rPr>
                <w:rFonts w:hint="default" w:ascii="Times New Roman" w:hAnsi="Times New Roman" w:cs="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4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692.80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685.34</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7.46</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635.04</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628.08</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6.96</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4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631.44</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628.08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3.36</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6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45.91</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0.50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2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29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7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3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26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7"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right"/>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备注：1.本表反映单位本年度各项支出情况。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jc w:val="center"/>
              <w:rPr>
                <w:rFonts w:hint="default" w:ascii="Times New Roman" w:hAnsi="Times New Roman" w:cs="Times New Roman"/>
                <w:b/>
                <w:color w:val="000000"/>
                <w:sz w:val="32"/>
                <w:szCs w:val="32"/>
              </w:rPr>
            </w:pPr>
            <w:r>
              <w:rPr>
                <w:rFonts w:hint="default" w:ascii="Times New Roman" w:hAnsi="Times New Roman" w:cs="Times New Roman"/>
                <w:sz w:val="21"/>
                <w:szCs w:val="21"/>
              </w:rPr>
              <w:br w:type="page"/>
            </w:r>
            <w:r>
              <w:rPr>
                <w:rFonts w:hint="default" w:ascii="Times New Roman" w:hAnsi="Times New Roman" w:cs="Times New Roman"/>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公开04表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262.43</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35.38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35.38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232.82</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232.82</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10.17</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10.17</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262.43</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15.95</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15.95</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278.38</w:t>
            </w:r>
            <w:r>
              <w:rPr>
                <w:rFonts w:hint="default" w:ascii="Times New Roman" w:hAnsi="Times New Roman" w:cs="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4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备注：1.本表反映单位本年度一般公共预算财政拨款、政府性基金预算财政拨款及国有资本经营预算财政拨款的总收支和年末结转结余情况。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公开05表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278.38</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270.92</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7.46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35.38</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5.68</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19.71</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10.00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232.82</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225.36</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7.46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175.06</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168.10</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6.96</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171.46</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168.10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3.36</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3.60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46.41</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45.91</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0.50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45.91</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0.50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11.36</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8.48</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2.88</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10.17</w:t>
            </w:r>
            <w:r>
              <w:rPr>
                <w:rFonts w:hint="default" w:ascii="Times New Roman" w:hAnsi="Times New Roman" w:cs="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10.17</w:t>
            </w:r>
            <w:r>
              <w:rPr>
                <w:rFonts w:hint="default" w:ascii="Times New Roman" w:hAnsi="Times New Roman" w:cs="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备注：1.本表反映单位本年度一般公共预算财政拨款支出情况。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p>
    <w:p>
      <w:pPr>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公开06表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265.24</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69.48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11.88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132.42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19.71</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10.00</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8.48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0.23</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10.17</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2.88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5.68</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5.06</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0.62</w:t>
            </w: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b/>
                <w:bCs/>
                <w:color w:val="000000"/>
                <w:sz w:val="18"/>
                <w:szCs w:val="18"/>
              </w:rPr>
            </w:pPr>
            <w:r>
              <w:rPr>
                <w:rFonts w:hint="default" w:ascii="Times New Roman" w:hAnsi="Times New Roman" w:cs="Times New Roman"/>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270.92</w:t>
            </w:r>
            <w:r>
              <w:rPr>
                <w:rFonts w:hint="default" w:ascii="Times New Roman" w:hAnsi="Times New Roman" w:cs="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b/>
                <w:color w:val="000000"/>
                <w:sz w:val="18"/>
                <w:szCs w:val="18"/>
              </w:rPr>
            </w:pPr>
            <w:r>
              <w:rPr>
                <w:rFonts w:hint="default" w:ascii="Times New Roman" w:hAnsi="Times New Roman" w:cs="Times New Roman"/>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bl>
    <w:p>
      <w:pPr>
        <w:spacing w:line="280" w:lineRule="exact"/>
        <w:rPr>
          <w:rFonts w:hint="default" w:ascii="Times New Roman" w:hAnsi="Times New Roman" w:cs="Times New Roman"/>
          <w:sz w:val="20"/>
          <w:szCs w:val="20"/>
        </w:rPr>
      </w:pPr>
      <w:r>
        <w:rPr>
          <w:rFonts w:hint="default" w:ascii="Times New Roman" w:hAnsi="Times New Roman" w:cs="Times New Roman"/>
          <w:sz w:val="20"/>
          <w:szCs w:val="20"/>
        </w:rPr>
        <w:t>备注：1.本表反映单位本年度一般公共预算财政拨款基本支出明细情况。</w:t>
      </w:r>
      <w:r>
        <w:rPr>
          <w:rFonts w:hint="default" w:ascii="Times New Roman" w:hAnsi="Times New Roman" w:cs="Times New Roman"/>
          <w:sz w:val="20"/>
          <w:szCs w:val="20"/>
        </w:rPr>
        <w:br w:type="textWrapping"/>
      </w:r>
      <w:r>
        <w:rPr>
          <w:rFonts w:hint="default" w:ascii="Times New Roman" w:hAnsi="Times New Roman" w:cs="Times New Roman"/>
          <w:sz w:val="20"/>
          <w:szCs w:val="20"/>
        </w:rPr>
        <w:t xml:space="preserve">      2.本套报表金额单位转换时可能存在尾数误差。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公开07表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0.00</w:t>
            </w:r>
            <w:r>
              <w:rPr>
                <w:rFonts w:hint="default" w:ascii="Times New Roman" w:hAnsi="Times New Roman" w:cs="Times New Roman"/>
                <w:color w:val="000000"/>
                <w:sz w:val="20"/>
                <w:u w:color="auto"/>
              </w:rPr>
              <w:t xml:space="preserve">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备注：本表反映单位本年度政府性基金预算财政拨款收入支出及结转和结余情况。本单位无政府性基金收支，故本表无数据。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32"/>
                <w:szCs w:val="32"/>
              </w:rPr>
            </w:pPr>
            <w:r>
              <w:rPr>
                <w:rFonts w:hint="default" w:ascii="Times New Roman" w:hAnsi="Times New Roman" w:cs="Times New Roman"/>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r>
              <w:rPr>
                <w:rFonts w:hint="default" w:ascii="Times New Roman" w:hAnsi="Times New Roman" w:cs="Times New Roman"/>
                <w:sz w:val="20"/>
                <w:szCs w:val="20"/>
              </w:rPr>
              <w:t>单位</w:t>
            </w:r>
            <w:r>
              <w:rPr>
                <w:rFonts w:hint="default" w:ascii="Times New Roman" w:hAnsi="Times New Roman" w:cs="Times New Roman"/>
                <w:color w:val="000000"/>
                <w:sz w:val="20"/>
                <w:szCs w:val="20"/>
              </w:rPr>
              <w:t>：</w:t>
            </w:r>
            <w:r>
              <w:rPr>
                <w:rFonts w:hint="default" w:ascii="Times New Roman" w:hAnsi="Times New Roman" w:cs="Times New Roman"/>
                <w:color w:val="000000"/>
                <w:sz w:val="20"/>
                <w:u w:color="auto"/>
              </w:rPr>
              <w:t>秀山土家族苗族自治县隘口镇卫生院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公开08表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Times New Roman"/>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Times New Roman"/>
                <w:color w:val="000000"/>
                <w:sz w:val="20"/>
                <w:szCs w:val="20"/>
              </w:rPr>
            </w:pPr>
            <w:r>
              <w:rPr>
                <w:rFonts w:hint="default" w:ascii="Times New Roman" w:hAnsi="Times New Roman" w:cs="Times New Roman"/>
                <w:color w:val="000000"/>
                <w:sz w:val="20"/>
                <w:szCs w:val="20"/>
              </w:rPr>
              <w:t>单位：</w:t>
            </w:r>
            <w:r>
              <w:rPr>
                <w:rFonts w:hint="default" w:ascii="Times New Roman" w:hAnsi="Times New Roman" w:cs="Times New Roman"/>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b/>
                <w:bCs/>
                <w:color w:val="000000"/>
                <w:sz w:val="20"/>
                <w:szCs w:val="20"/>
              </w:rPr>
              <w:t>0.00</w:t>
            </w:r>
            <w:r>
              <w:rPr>
                <w:rFonts w:hint="default" w:ascii="Times New Roman" w:hAnsi="Times New Roman" w:cs="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color w:val="000000"/>
                <w:sz w:val="20"/>
                <w:szCs w:val="20"/>
              </w:rPr>
            </w:pPr>
            <w:r>
              <w:rPr>
                <w:rFonts w:hint="default" w:ascii="Times New Roman" w:hAnsi="Times New Roman" w:cs="Times New Roman"/>
                <w:color w:val="000000"/>
                <w:sz w:val="20"/>
                <w:szCs w:val="20"/>
              </w:rPr>
              <w:t xml:space="preserve">0.00 </w:t>
            </w:r>
          </w:p>
        </w:tc>
      </w:tr>
    </w:tbl>
    <w:p>
      <w:pPr>
        <w:rPr>
          <w:rFonts w:hint="default" w:ascii="Times New Roman" w:hAnsi="Times New Roman" w:cs="Times New Roman"/>
          <w:sz w:val="21"/>
          <w:szCs w:val="21"/>
        </w:rPr>
      </w:pPr>
      <w:r>
        <w:rPr>
          <w:rFonts w:hint="default" w:ascii="Times New Roman" w:hAnsi="Times New Roman" w:cs="Times New Roman"/>
          <w:sz w:val="20"/>
          <w:szCs w:val="20"/>
        </w:rPr>
        <w:t>备注：本表反映单位本年度国有资本经营预算财政拨款支出情况。本单位无国有资本经营收支，故本表无数据。</w:t>
      </w:r>
      <w:r>
        <w:rPr>
          <w:rFonts w:hint="default" w:ascii="Times New Roman" w:hAnsi="Times New Roman" w:cs="Times New Roman"/>
          <w:sz w:val="20"/>
          <w:szCs w:val="20"/>
        </w:rPr>
        <w:br w:type="textWrapping"/>
      </w:r>
      <w:r>
        <w:rPr>
          <w:rFonts w:hint="default" w:ascii="Times New Roman" w:hAnsi="Times New Roman" w:cs="Times New Roman"/>
          <w:sz w:val="20"/>
          <w:szCs w:val="20"/>
        </w:rPr>
        <w:br w:type="textWrapping"/>
      </w:r>
    </w:p>
    <w:p>
      <w:pPr>
        <w:rPr>
          <w:rFonts w:hint="default" w:ascii="Times New Roman" w:hAnsi="Times New Roman" w:cs="Times New Roman"/>
          <w:sz w:val="21"/>
          <w:szCs w:val="21"/>
        </w:rPr>
      </w:pPr>
      <w:r>
        <w:rPr>
          <w:rFonts w:hint="default" w:ascii="Times New Roman" w:hAnsi="Times New Roman" w:cs="Times New Roman"/>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Times New Roman"/>
                <w:b/>
                <w:color w:val="000000"/>
                <w:kern w:val="2"/>
                <w:sz w:val="32"/>
                <w:szCs w:val="32"/>
              </w:rPr>
            </w:pPr>
            <w:r>
              <w:rPr>
                <w:rFonts w:hint="default" w:ascii="Times New Roman" w:hAnsi="Times New Roman" w:cs="Times New Roman"/>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ascii="Times New Roman" w:hAnsi="Times New Roman" w:cs="Times New Roman"/>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kern w:val="2"/>
                <w:sz w:val="20"/>
                <w:szCs w:val="20"/>
              </w:rPr>
            </w:pPr>
            <w:r>
              <w:rPr>
                <w:rFonts w:hint="default" w:ascii="Times New Roman" w:hAnsi="Times New Roman" w:cs="Times New Roman"/>
                <w:color w:val="000000"/>
                <w:kern w:val="2"/>
                <w:sz w:val="20"/>
                <w:szCs w:val="20"/>
              </w:rPr>
              <w:t>公开09表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r>
              <w:rPr>
                <w:rFonts w:hint="default" w:ascii="Times New Roman" w:hAnsi="Times New Roman" w:cs="Times New Roman"/>
                <w:kern w:val="2"/>
                <w:sz w:val="20"/>
                <w:szCs w:val="20"/>
                <w:lang w:eastAsia="zh-CN"/>
              </w:rPr>
              <w:t>单位</w:t>
            </w:r>
            <w:r>
              <w:rPr>
                <w:rFonts w:hint="default" w:ascii="Times New Roman" w:hAnsi="Times New Roman" w:cs="Times New Roman"/>
                <w:color w:val="000000"/>
                <w:kern w:val="2"/>
                <w:sz w:val="20"/>
                <w:szCs w:val="20"/>
              </w:rPr>
              <w:t>：</w:t>
            </w:r>
            <w:r>
              <w:rPr>
                <w:rFonts w:hint="default" w:ascii="Times New Roman" w:hAnsi="Times New Roman" w:cs="Times New Roman"/>
                <w:color w:val="000000"/>
                <w:sz w:val="20"/>
                <w:u w:color="auto"/>
              </w:rPr>
              <w:t>秀山土家族苗族自治县隘口镇卫生院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Times New Roman"/>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Times New Roman"/>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Times New Roman"/>
                <w:color w:val="000000"/>
                <w:kern w:val="2"/>
                <w:sz w:val="20"/>
                <w:szCs w:val="20"/>
              </w:rPr>
            </w:pPr>
            <w:r>
              <w:rPr>
                <w:rFonts w:hint="default" w:ascii="Times New Roman" w:hAnsi="Times New Roman" w:cs="Times New Roman"/>
                <w:color w:val="000000"/>
                <w:kern w:val="2"/>
                <w:sz w:val="20"/>
                <w:szCs w:val="20"/>
              </w:rPr>
              <w:t>单位：</w:t>
            </w:r>
            <w:r>
              <w:rPr>
                <w:rFonts w:hint="default" w:ascii="Times New Roman" w:hAnsi="Times New Roman" w:cs="Times New Roman"/>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kern w:val="2"/>
                <w:sz w:val="16"/>
                <w:szCs w:val="16"/>
              </w:rPr>
            </w:pPr>
            <w:r>
              <w:rPr>
                <w:rFonts w:hint="default" w:ascii="Times New Roman" w:hAnsi="Times New Roman" w:cs="Times New Roman"/>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1.83</w:t>
            </w:r>
            <w:r>
              <w:rPr>
                <w:rFonts w:hint="default" w:ascii="Times New Roman" w:hAnsi="Times New Roman" w:cs="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color w:val="000000"/>
                <w:kern w:val="2"/>
                <w:sz w:val="16"/>
                <w:szCs w:val="16"/>
              </w:rPr>
            </w:pPr>
            <w:r>
              <w:rPr>
                <w:rFonts w:hint="default" w:ascii="Times New Roman" w:hAnsi="Times New Roman" w:cs="Times New Roman"/>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kern w:val="2"/>
                <w:sz w:val="18"/>
                <w:szCs w:val="18"/>
              </w:rPr>
            </w:pPr>
            <w:r>
              <w:rPr>
                <w:rFonts w:hint="default" w:ascii="Times New Roman" w:hAnsi="Times New Roman" w:cs="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kern w:val="2"/>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Times New Roman"/>
                <w:b/>
                <w:bCs/>
                <w:color w:val="000000"/>
                <w:sz w:val="16"/>
                <w:szCs w:val="16"/>
              </w:rPr>
            </w:pPr>
            <w:r>
              <w:rPr>
                <w:rFonts w:hint="default" w:ascii="Times New Roman" w:hAnsi="Times New Roman" w:cs="Times New Roman"/>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color w:val="000000"/>
                <w:sz w:val="18"/>
                <w:szCs w:val="18"/>
              </w:rPr>
            </w:pPr>
            <w:r>
              <w:rPr>
                <w:rFonts w:hint="default" w:ascii="Times New Roman" w:hAnsi="Times New Roman" w:cs="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color w:val="000000"/>
                <w:sz w:val="18"/>
                <w:szCs w:val="18"/>
              </w:rPr>
            </w:pPr>
            <w:r>
              <w:rPr>
                <w:rFonts w:hint="default" w:ascii="Times New Roman" w:hAnsi="Times New Roman" w:cs="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color w:val="000000"/>
                <w:sz w:val="16"/>
                <w:szCs w:val="16"/>
              </w:rPr>
            </w:pPr>
          </w:p>
        </w:tc>
      </w:tr>
    </w:tbl>
    <w:p>
      <w:pPr>
        <w:rPr>
          <w:rFonts w:hint="default" w:ascii="Times New Roman" w:hAnsi="Times New Roman" w:cs="Times New Roman"/>
          <w:sz w:val="18"/>
          <w:szCs w:val="18"/>
        </w:rPr>
      </w:pPr>
      <w:r>
        <w:rPr>
          <w:rFonts w:hint="default" w:ascii="Times New Roman" w:hAnsi="Times New Roman" w:cs="Times New Roman"/>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hint="default" w:ascii="Times New Roman" w:hAnsi="Times New Roman" w:cs="Times New Roman"/>
          <w:sz w:val="18"/>
          <w:szCs w:val="18"/>
        </w:rPr>
        <w:br w:type="textWrapping"/>
      </w:r>
      <w:r>
        <w:rPr>
          <w:rFonts w:hint="default" w:ascii="Times New Roman" w:hAnsi="Times New Roman" w:cs="Times New Roman"/>
          <w:sz w:val="18"/>
          <w:szCs w:val="18"/>
        </w:rPr>
        <w:t xml:space="preserve">      2.本套报表金额单位转换时可能存在尾数误差。</w:t>
      </w:r>
      <w:r>
        <w:rPr>
          <w:rFonts w:hint="default" w:ascii="Times New Roman" w:hAnsi="Times New Roman" w:cs="Times New Roman"/>
          <w:sz w:val="18"/>
          <w:szCs w:val="18"/>
        </w:rPr>
        <w:br w:type="textWrapping"/>
      </w:r>
      <w:r>
        <w:rPr>
          <w:rFonts w:hint="default" w:ascii="Times New Roman" w:hAnsi="Times New Roman" w:cs="Times New Roman"/>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6D2DA1"/>
    <w:multiLevelType w:val="singleLevel"/>
    <w:tmpl w:val="DB6D2DA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9D275A"/>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A6CEE"/>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6264EE"/>
    <w:rsid w:val="24B92327"/>
    <w:rsid w:val="24C14514"/>
    <w:rsid w:val="2533755C"/>
    <w:rsid w:val="25791755"/>
    <w:rsid w:val="26396DF4"/>
    <w:rsid w:val="26764F3A"/>
    <w:rsid w:val="27167136"/>
    <w:rsid w:val="271B442C"/>
    <w:rsid w:val="27B23302"/>
    <w:rsid w:val="29310A5F"/>
    <w:rsid w:val="29C37A35"/>
    <w:rsid w:val="2A076083"/>
    <w:rsid w:val="2A73162E"/>
    <w:rsid w:val="2A9B2E54"/>
    <w:rsid w:val="2B167953"/>
    <w:rsid w:val="2B200583"/>
    <w:rsid w:val="2B8209DE"/>
    <w:rsid w:val="2B821C91"/>
    <w:rsid w:val="2BF81A22"/>
    <w:rsid w:val="2C636760"/>
    <w:rsid w:val="2C6762A3"/>
    <w:rsid w:val="2D47222E"/>
    <w:rsid w:val="2DF41D09"/>
    <w:rsid w:val="2FCA4B37"/>
    <w:rsid w:val="2FE029D7"/>
    <w:rsid w:val="2FF06E00"/>
    <w:rsid w:val="3011532A"/>
    <w:rsid w:val="30586FEC"/>
    <w:rsid w:val="315F0B22"/>
    <w:rsid w:val="31D84415"/>
    <w:rsid w:val="32285F6F"/>
    <w:rsid w:val="32770556"/>
    <w:rsid w:val="329C0913"/>
    <w:rsid w:val="32AA0460"/>
    <w:rsid w:val="3337290D"/>
    <w:rsid w:val="33E31118"/>
    <w:rsid w:val="33EF7674"/>
    <w:rsid w:val="342D7BC6"/>
    <w:rsid w:val="346A33E5"/>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975FEB"/>
    <w:rsid w:val="45CB699A"/>
    <w:rsid w:val="46423C66"/>
    <w:rsid w:val="465B470D"/>
    <w:rsid w:val="469D6AD4"/>
    <w:rsid w:val="471E6C84"/>
    <w:rsid w:val="4748792B"/>
    <w:rsid w:val="475D719D"/>
    <w:rsid w:val="47674801"/>
    <w:rsid w:val="48225EF7"/>
    <w:rsid w:val="488F422B"/>
    <w:rsid w:val="48E36915"/>
    <w:rsid w:val="48EB6572"/>
    <w:rsid w:val="495C4A24"/>
    <w:rsid w:val="497135DF"/>
    <w:rsid w:val="49E7518D"/>
    <w:rsid w:val="4A263DF2"/>
    <w:rsid w:val="4A2F278B"/>
    <w:rsid w:val="4A6F6675"/>
    <w:rsid w:val="4B135857"/>
    <w:rsid w:val="4B7951CB"/>
    <w:rsid w:val="4B7C315C"/>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92208C"/>
    <w:rsid w:val="5BF41F67"/>
    <w:rsid w:val="5C263CE4"/>
    <w:rsid w:val="5C5D2777"/>
    <w:rsid w:val="5CF66BF3"/>
    <w:rsid w:val="5D290C69"/>
    <w:rsid w:val="5DA80C2C"/>
    <w:rsid w:val="5F2D4A41"/>
    <w:rsid w:val="60C74F6C"/>
    <w:rsid w:val="61015958"/>
    <w:rsid w:val="61025A59"/>
    <w:rsid w:val="613D5BBC"/>
    <w:rsid w:val="61536C39"/>
    <w:rsid w:val="615E434D"/>
    <w:rsid w:val="61894431"/>
    <w:rsid w:val="62944DD7"/>
    <w:rsid w:val="6319381F"/>
    <w:rsid w:val="63C25DC5"/>
    <w:rsid w:val="63C62057"/>
    <w:rsid w:val="64571EF5"/>
    <w:rsid w:val="64FB113D"/>
    <w:rsid w:val="656152C6"/>
    <w:rsid w:val="6587477F"/>
    <w:rsid w:val="658C3A08"/>
    <w:rsid w:val="65932E9D"/>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8C70DD"/>
    <w:rsid w:val="6FAC003D"/>
    <w:rsid w:val="6FD926BF"/>
    <w:rsid w:val="6FE55E12"/>
    <w:rsid w:val="6FFB2E76"/>
    <w:rsid w:val="708F6F7F"/>
    <w:rsid w:val="70D94BD3"/>
    <w:rsid w:val="71574775"/>
    <w:rsid w:val="71C34D91"/>
    <w:rsid w:val="7231136C"/>
    <w:rsid w:val="72DB435C"/>
    <w:rsid w:val="72E2613A"/>
    <w:rsid w:val="72F771F4"/>
    <w:rsid w:val="73934AD2"/>
    <w:rsid w:val="750837F0"/>
    <w:rsid w:val="754758CF"/>
    <w:rsid w:val="75595ECD"/>
    <w:rsid w:val="75F7327A"/>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1</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核算中心 田淑琴</cp:lastModifiedBy>
  <dcterms:modified xsi:type="dcterms:W3CDTF">2025-09-30T08:48:26Z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