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default" w:ascii="Times New Roman" w:hAnsi="Times New Roman" w:eastAsia="方正小标宋_GBK" w:cs="Times New Roman"/>
          <w:sz w:val="36"/>
          <w:szCs w:val="36"/>
          <w:shd w:val="clear" w:color="auto" w:fill="FFFFFF"/>
        </w:rPr>
      </w:pPr>
      <w:r>
        <w:rPr>
          <w:rFonts w:hint="default" w:ascii="Times New Roman" w:hAnsi="Times New Roman" w:eastAsia="方正小标宋_GBK" w:cs="Times New Roman"/>
          <w:sz w:val="44"/>
          <w:szCs w:val="44"/>
        </w:rPr>
        <w:t>秀山土家族苗族自治县石耶镇中心卫生院</w:t>
      </w: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default" w:ascii="Times New Roman" w:hAnsi="Times New Roman" w:eastAsia="方正小标宋_GBK" w:cs="Times New Roman"/>
          <w:sz w:val="44"/>
          <w:szCs w:val="44"/>
          <w:shd w:val="clear" w:color="auto" w:fill="FFFFFF"/>
        </w:rPr>
        <w:t>年度决算</w:t>
      </w:r>
      <w:r>
        <w:rPr>
          <w:rFonts w:hint="eastAsia" w:ascii="Times New Roman" w:hAnsi="Times New Roman" w:eastAsia="方正小标宋_GBK" w:cs="Times New Roman"/>
          <w:sz w:val="44"/>
          <w:szCs w:val="44"/>
          <w:shd w:val="clear" w:color="auto" w:fill="FFFFFF"/>
          <w:lang w:eastAsia="zh-CN"/>
        </w:rPr>
        <w:t>公开</w:t>
      </w:r>
      <w:r>
        <w:rPr>
          <w:rFonts w:hint="default" w:ascii="Times New Roman" w:hAnsi="Times New Roman" w:eastAsia="方正小标宋_GBK" w:cs="Times New Roman"/>
          <w:sz w:val="44"/>
          <w:szCs w:val="44"/>
          <w:shd w:val="clear" w:color="auto" w:fill="FFFFFF"/>
        </w:rPr>
        <w:t>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3" w:firstLineChars="200"/>
        <w:textAlignment w:val="auto"/>
        <w:rPr>
          <w:rStyle w:val="13"/>
          <w:rFonts w:hint="default" w:ascii="Times New Roman" w:hAnsi="Times New Roman" w:eastAsia="黑体" w:cs="Times New Roman"/>
          <w:sz w:val="32"/>
          <w:szCs w:val="32"/>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黑体_GBK" w:cs="Times New Roman"/>
          <w:b w:val="0"/>
          <w:bCs/>
          <w:sz w:val="32"/>
          <w:szCs w:val="32"/>
          <w:shd w:val="clear" w:color="auto" w:fill="FFFFFF"/>
        </w:rPr>
      </w:pPr>
      <w:r>
        <w:rPr>
          <w:rStyle w:val="13"/>
          <w:rFonts w:hint="default" w:ascii="Times New Roman" w:hAnsi="Times New Roman" w:eastAsia="方正黑体_GBK" w:cs="Times New Roman"/>
          <w:b w:val="0"/>
          <w:bCs/>
          <w:sz w:val="32"/>
          <w:szCs w:val="32"/>
          <w:shd w:val="clear" w:color="auto" w:fill="FFFFFF"/>
        </w:rPr>
        <w:t>一、</w:t>
      </w:r>
      <w:r>
        <w:rPr>
          <w:rStyle w:val="13"/>
          <w:rFonts w:hint="default" w:ascii="Times New Roman" w:hAnsi="Times New Roman" w:eastAsia="方正黑体_GBK" w:cs="Times New Roman"/>
          <w:b w:val="0"/>
          <w:bCs/>
          <w:sz w:val="32"/>
          <w:szCs w:val="32"/>
          <w:shd w:val="clear" w:color="auto" w:fill="FFFFFF"/>
          <w:lang w:eastAsia="zh-CN"/>
        </w:rPr>
        <w:t>单位</w:t>
      </w:r>
      <w:r>
        <w:rPr>
          <w:rStyle w:val="13"/>
          <w:rFonts w:hint="default" w:ascii="Times New Roman" w:hAnsi="Times New Roman" w:eastAsia="方正黑体_GBK" w:cs="Times New Roman"/>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1.根据国家和本市规定收集、报送辖区内卫生健康信息，建立和管理居民健康档案，提出改进辖区公共卫生状况的建议。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2.开展健康教育，普及健康知识。</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3.协助开展传染病以及地方病、寄生虫病的预防控制，配合开展爱国卫生工作。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4.做好高危人群、重点慢性病患者的筛查和病例管理。</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5.提供心理健康指导服务，实施精神病社区管理。</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6.为妇女、儿童、老年人、残疾人等重点人群提供保健和康复服务。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7.提供计划生育技术服务，协助处置辖区内突发公共卫生事件等。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8.按要求提供其他公共卫生服务。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仿宋_GBK" w:cs="Times New Roman"/>
          <w:b w:val="0"/>
          <w:bCs/>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本单位为秀山县卫生健康委员会二级预算单位，无下级预算单位。单位内设办公室、财务科、医务科、综合住院部、门诊部、中医科、医技科、库房、药房、收费室、公共卫生科。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黑体_GBK" w:cs="Times New Roman"/>
          <w:b w:val="0"/>
          <w:bCs/>
          <w:sz w:val="32"/>
          <w:szCs w:val="32"/>
          <w:shd w:val="clear" w:color="auto" w:fill="FFFFFF"/>
        </w:rPr>
      </w:pPr>
      <w:r>
        <w:rPr>
          <w:rStyle w:val="13"/>
          <w:rFonts w:hint="default" w:ascii="Times New Roman" w:hAnsi="Times New Roman" w:eastAsia="方正黑体_GBK" w:cs="Times New Roman"/>
          <w:b w:val="0"/>
          <w:bCs/>
          <w:sz w:val="32"/>
          <w:szCs w:val="32"/>
          <w:shd w:val="clear" w:color="auto" w:fill="FFFFFF"/>
        </w:rPr>
        <w:t>二、</w:t>
      </w:r>
      <w:r>
        <w:rPr>
          <w:rStyle w:val="13"/>
          <w:rFonts w:hint="default" w:ascii="Times New Roman" w:hAnsi="Times New Roman" w:eastAsia="方正黑体_GBK" w:cs="Times New Roman"/>
          <w:b w:val="0"/>
          <w:bCs/>
          <w:sz w:val="32"/>
          <w:szCs w:val="32"/>
          <w:shd w:val="clear" w:color="auto" w:fill="FFFFFF"/>
          <w:lang w:eastAsia="zh-CN"/>
        </w:rPr>
        <w:t>单位</w:t>
      </w:r>
      <w:r>
        <w:rPr>
          <w:rStyle w:val="13"/>
          <w:rFonts w:hint="default" w:ascii="Times New Roman" w:hAnsi="Times New Roman" w:eastAsia="方正黑体_GBK" w:cs="Times New Roman"/>
          <w:b w:val="0"/>
          <w:bCs/>
          <w:sz w:val="32"/>
          <w:szCs w:val="32"/>
          <w:shd w:val="clear" w:color="auto" w:fill="FFFFFF"/>
        </w:rPr>
        <w:t>决算</w:t>
      </w:r>
      <w:r>
        <w:rPr>
          <w:rStyle w:val="13"/>
          <w:rFonts w:hint="default" w:ascii="Times New Roman" w:hAnsi="Times New Roman" w:eastAsia="方正黑体_GBK" w:cs="Times New Roman"/>
          <w:b w:val="0"/>
          <w:bCs/>
          <w:sz w:val="32"/>
          <w:szCs w:val="32"/>
          <w:shd w:val="clear" w:color="auto" w:fill="FFFFFF"/>
          <w:lang w:eastAsia="zh-CN"/>
        </w:rPr>
        <w:t>收支</w:t>
      </w:r>
      <w:r>
        <w:rPr>
          <w:rStyle w:val="13"/>
          <w:rFonts w:hint="default" w:ascii="Times New Roman" w:hAnsi="Times New Roman" w:eastAsia="方正黑体_GBK" w:cs="Times New Roman"/>
          <w:b w:val="0"/>
          <w:bCs/>
          <w:sz w:val="32"/>
          <w:szCs w:val="32"/>
          <w:shd w:val="clear" w:color="auto" w:fill="FFFFFF"/>
        </w:rPr>
        <w:t>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（一）收入支出决算总体情况说明</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2024年度收</w:t>
      </w:r>
      <w:r>
        <w:rPr>
          <w:rFonts w:hint="default" w:ascii="Times New Roman" w:hAnsi="Times New Roman" w:eastAsia="方正仿宋_GBK" w:cs="Times New Roman"/>
          <w:sz w:val="32"/>
          <w:szCs w:val="32"/>
          <w:shd w:val="clear" w:color="auto" w:fill="FFFFFF"/>
          <w:lang w:eastAsia="zh-CN"/>
        </w:rPr>
        <w:t>、支</w:t>
      </w:r>
      <w:r>
        <w:rPr>
          <w:rFonts w:hint="default" w:ascii="Times New Roman" w:hAnsi="Times New Roman" w:eastAsia="方正仿宋_GBK" w:cs="Times New Roman"/>
          <w:sz w:val="32"/>
          <w:szCs w:val="32"/>
          <w:shd w:val="clear" w:color="auto" w:fill="FFFFFF"/>
        </w:rPr>
        <w:t>总计</w:t>
      </w:r>
      <w:r>
        <w:rPr>
          <w:rFonts w:hint="default" w:ascii="Times New Roman" w:hAnsi="Times New Roman" w:eastAsia="方正仿宋_GBK" w:cs="Times New Roman"/>
          <w:sz w:val="32"/>
          <w:szCs w:val="32"/>
          <w:shd w:val="clear" w:color="auto" w:fill="FFFFFF"/>
          <w:lang w:eastAsia="zh-CN"/>
        </w:rPr>
        <w:t>均为</w:t>
      </w:r>
      <w:r>
        <w:rPr>
          <w:rFonts w:hint="default" w:ascii="Times New Roman" w:hAnsi="Times New Roman" w:eastAsia="方正仿宋_GBK" w:cs="Times New Roman"/>
          <w:sz w:val="32"/>
          <w:szCs w:val="32"/>
          <w:shd w:val="clear" w:color="auto" w:fill="FFFFFF"/>
        </w:rPr>
        <w:t>1005.02万元。收、支与2023年度相比，减少131.33万元，下降11.6%，主要原因是本单位202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w:t>
      </w:r>
      <w:r>
        <w:rPr>
          <w:rFonts w:hint="default" w:ascii="Times New Roman" w:hAnsi="Times New Roman" w:eastAsia="方正仿宋_GBK" w:cs="Times New Roman"/>
          <w:sz w:val="32"/>
          <w:szCs w:val="32"/>
          <w:shd w:val="clear" w:color="auto" w:fill="FFFFFF"/>
          <w:lang w:eastAsia="zh-CN"/>
        </w:rPr>
        <w:t>财政拨款收入及事业收入</w:t>
      </w:r>
      <w:r>
        <w:rPr>
          <w:rFonts w:hint="eastAsia" w:ascii="Times New Roman" w:hAnsi="Times New Roman" w:eastAsia="方正仿宋_GBK" w:cs="Times New Roman"/>
          <w:sz w:val="32"/>
          <w:szCs w:val="32"/>
          <w:shd w:val="clear" w:color="auto" w:fill="FFFFFF"/>
          <w:lang w:val="en-US" w:eastAsia="zh-CN" w:bidi="ar-SA"/>
        </w:rPr>
        <w:t>均有所</w:t>
      </w:r>
      <w:r>
        <w:rPr>
          <w:rFonts w:hint="default" w:ascii="Times New Roman" w:hAnsi="Times New Roman" w:eastAsia="方正仿宋_GBK" w:cs="Times New Roman"/>
          <w:sz w:val="32"/>
          <w:szCs w:val="32"/>
          <w:shd w:val="clear" w:color="auto" w:fill="FFFFFF"/>
          <w:lang w:eastAsia="zh-CN"/>
        </w:rPr>
        <w:t>减少</w:t>
      </w:r>
      <w:r>
        <w:rPr>
          <w:rFonts w:hint="eastAsia" w:ascii="Times New Roman" w:hAnsi="Times New Roman" w:eastAsia="方正仿宋_GBK" w:cs="Times New Roman"/>
          <w:sz w:val="32"/>
          <w:szCs w:val="32"/>
          <w:shd w:val="clear" w:color="auto" w:fill="FFFFFF"/>
          <w:lang w:val="en-US" w:eastAsia="zh-CN"/>
        </w:rPr>
        <w:t>。具体而言，财政拨款收入减少主要体现在以下几个方面：医疗设备购置收入减少了20.</w:t>
      </w:r>
      <w:r>
        <w:rPr>
          <w:rFonts w:hint="default" w:ascii="Times New Roman" w:hAnsi="Times New Roman" w:eastAsia="方正仿宋_GBK" w:cs="Times New Roman"/>
          <w:sz w:val="32"/>
          <w:szCs w:val="32"/>
          <w:shd w:val="clear" w:color="auto" w:fill="FFFFFF"/>
          <w:lang w:val="en-US" w:eastAsia="zh-CN"/>
        </w:rPr>
        <w:t>00</w:t>
      </w:r>
      <w:r>
        <w:rPr>
          <w:rFonts w:hint="default" w:ascii="Times New Roman" w:hAnsi="Times New Roman" w:eastAsia="方正仿宋_GBK" w:cs="Times New Roman"/>
          <w:sz w:val="32"/>
          <w:szCs w:val="32"/>
          <w:shd w:val="clear" w:color="auto" w:fill="FFFFFF"/>
        </w:rPr>
        <w:t>万元，医务人员临时性工作补助</w:t>
      </w:r>
      <w:r>
        <w:rPr>
          <w:rFonts w:hint="default" w:ascii="Times New Roman" w:hAnsi="Times New Roman" w:eastAsia="方正仿宋_GBK" w:cs="Times New Roman"/>
          <w:sz w:val="32"/>
          <w:szCs w:val="32"/>
          <w:shd w:val="clear" w:color="auto" w:fill="FFFFFF"/>
          <w:lang w:eastAsia="zh-CN"/>
        </w:rPr>
        <w:t>收入减少</w:t>
      </w:r>
      <w:r>
        <w:rPr>
          <w:rFonts w:hint="eastAsia" w:ascii="Times New Roman" w:hAnsi="Times New Roman" w:eastAsia="方正仿宋_GBK" w:cs="Times New Roman"/>
          <w:sz w:val="32"/>
          <w:szCs w:val="32"/>
          <w:shd w:val="clear" w:color="auto" w:fill="FFFFFF"/>
          <w:lang w:eastAsia="zh-CN"/>
        </w:rPr>
        <w:t>了</w:t>
      </w:r>
      <w:r>
        <w:rPr>
          <w:rFonts w:hint="default" w:ascii="Times New Roman" w:hAnsi="Times New Roman" w:eastAsia="方正仿宋_GBK" w:cs="Times New Roman"/>
          <w:sz w:val="32"/>
          <w:szCs w:val="32"/>
          <w:shd w:val="clear" w:color="auto" w:fill="FFFFFF"/>
          <w:lang w:val="en-US" w:eastAsia="zh-CN"/>
        </w:rPr>
        <w:t>15.32万元，</w:t>
      </w:r>
      <w:r>
        <w:rPr>
          <w:rFonts w:hint="default" w:ascii="Times New Roman" w:hAnsi="Times New Roman" w:eastAsia="方正仿宋_GBK" w:cs="Times New Roman"/>
          <w:sz w:val="32"/>
          <w:szCs w:val="32"/>
          <w:shd w:val="clear" w:color="auto" w:fill="FFFFFF"/>
        </w:rPr>
        <w:t>乡镇卫生院实施药品零差价补助</w:t>
      </w:r>
      <w:r>
        <w:rPr>
          <w:rFonts w:hint="default" w:ascii="Times New Roman" w:hAnsi="Times New Roman" w:eastAsia="方正仿宋_GBK" w:cs="Times New Roman"/>
          <w:sz w:val="32"/>
          <w:szCs w:val="32"/>
          <w:shd w:val="clear" w:color="auto" w:fill="FFFFFF"/>
          <w:lang w:eastAsia="zh-CN"/>
        </w:rPr>
        <w:t>收入减少</w:t>
      </w:r>
      <w:r>
        <w:rPr>
          <w:rFonts w:hint="eastAsia" w:ascii="Times New Roman" w:hAnsi="Times New Roman" w:eastAsia="方正仿宋_GBK" w:cs="Times New Roman"/>
          <w:sz w:val="32"/>
          <w:szCs w:val="32"/>
          <w:shd w:val="clear" w:color="auto" w:fill="FFFFFF"/>
          <w:lang w:eastAsia="zh-CN"/>
        </w:rPr>
        <w:t>了</w:t>
      </w:r>
      <w:r>
        <w:rPr>
          <w:rFonts w:hint="default" w:ascii="Times New Roman" w:hAnsi="Times New Roman" w:eastAsia="方正仿宋_GBK" w:cs="Times New Roman"/>
          <w:sz w:val="32"/>
          <w:szCs w:val="32"/>
          <w:shd w:val="clear" w:color="auto" w:fill="FFFFFF"/>
          <w:lang w:val="en-US" w:eastAsia="zh-CN"/>
        </w:rPr>
        <w:t>37.85万元，</w:t>
      </w:r>
      <w:r>
        <w:rPr>
          <w:rFonts w:hint="eastAsia" w:ascii="Times New Roman" w:hAnsi="Times New Roman" w:eastAsia="方正仿宋_GBK" w:cs="Times New Roman"/>
          <w:sz w:val="32"/>
          <w:szCs w:val="32"/>
          <w:shd w:val="clear" w:color="auto" w:fill="FFFFFF"/>
          <w:lang w:val="en-US" w:eastAsia="zh-CN" w:bidi="ar-SA"/>
        </w:rPr>
        <w:t>以及</w:t>
      </w:r>
      <w:r>
        <w:rPr>
          <w:rFonts w:hint="default" w:ascii="Times New Roman" w:hAnsi="Times New Roman" w:eastAsia="方正仿宋_GBK" w:cs="Times New Roman"/>
          <w:sz w:val="32"/>
          <w:szCs w:val="32"/>
          <w:shd w:val="clear" w:color="auto" w:fill="FFFFFF"/>
          <w:lang w:val="en-US" w:eastAsia="zh-CN"/>
        </w:rPr>
        <w:t>基本公共卫生补助</w:t>
      </w:r>
      <w:r>
        <w:rPr>
          <w:rFonts w:hint="default" w:ascii="Times New Roman" w:hAnsi="Times New Roman" w:eastAsia="方正仿宋_GBK" w:cs="Times New Roman"/>
          <w:sz w:val="32"/>
          <w:szCs w:val="32"/>
          <w:shd w:val="clear" w:color="auto" w:fill="FFFFFF"/>
        </w:rPr>
        <w:t>收入减少</w:t>
      </w:r>
      <w:r>
        <w:rPr>
          <w:rFonts w:hint="eastAsia" w:ascii="Times New Roman" w:hAnsi="Times New Roman" w:eastAsia="方正仿宋_GBK" w:cs="Times New Roman"/>
          <w:sz w:val="32"/>
          <w:szCs w:val="32"/>
          <w:shd w:val="clear" w:color="auto" w:fill="FFFFFF"/>
          <w:lang w:eastAsia="zh-CN"/>
        </w:rPr>
        <w:t>了</w:t>
      </w:r>
      <w:r>
        <w:rPr>
          <w:rFonts w:hint="default" w:ascii="Times New Roman" w:hAnsi="Times New Roman" w:eastAsia="方正仿宋_GBK" w:cs="Times New Roman"/>
          <w:sz w:val="32"/>
          <w:szCs w:val="32"/>
          <w:shd w:val="clear" w:color="auto" w:fill="FFFFFF"/>
          <w:lang w:val="en-US" w:eastAsia="zh-CN"/>
        </w:rPr>
        <w:t>12.64</w:t>
      </w:r>
      <w:r>
        <w:rPr>
          <w:rFonts w:hint="default" w:ascii="Times New Roman" w:hAnsi="Times New Roman" w:eastAsia="方正仿宋_GBK" w:cs="Times New Roman"/>
          <w:sz w:val="32"/>
          <w:szCs w:val="32"/>
          <w:shd w:val="clear" w:color="auto" w:fill="FFFFFF"/>
        </w:rPr>
        <w:t>万元</w:t>
      </w:r>
      <w:r>
        <w:rPr>
          <w:rFonts w:hint="eastAsia" w:ascii="Times New Roman" w:hAnsi="Times New Roman" w:eastAsia="方正仿宋_GBK" w:cs="Times New Roman"/>
          <w:sz w:val="32"/>
          <w:szCs w:val="32"/>
          <w:shd w:val="clear" w:color="auto" w:fill="FFFFFF"/>
          <w:lang w:val="en-US" w:eastAsia="zh-CN"/>
        </w:rPr>
        <w:t>。此外，事业收入也减少了20.</w:t>
      </w:r>
      <w:r>
        <w:rPr>
          <w:rFonts w:hint="default" w:ascii="Times New Roman" w:hAnsi="Times New Roman" w:eastAsia="方正仿宋_GBK" w:cs="Times New Roman"/>
          <w:sz w:val="32"/>
          <w:szCs w:val="32"/>
          <w:shd w:val="clear" w:color="auto" w:fill="FFFFFF"/>
          <w:lang w:val="en-US" w:eastAsia="zh-CN"/>
        </w:rPr>
        <w:t>02万元</w:t>
      </w:r>
      <w:r>
        <w:rPr>
          <w:rFonts w:hint="eastAsia" w:ascii="Times New Roman" w:hAnsi="Times New Roman" w:eastAsia="方正仿宋_GBK" w:cs="Times New Roman"/>
          <w:sz w:val="32"/>
          <w:szCs w:val="32"/>
          <w:shd w:val="clear" w:color="auto" w:fill="FFFFFF"/>
          <w:lang w:val="en-US" w:eastAsia="zh-CN"/>
        </w:rPr>
        <w:t>，主要是二类疫苗收入减少</w:t>
      </w:r>
      <w:r>
        <w:rPr>
          <w:rFonts w:hint="eastAsia" w:ascii="Times New Roman" w:hAnsi="Times New Roman" w:eastAsia="方正仿宋_GBK" w:cs="Times New Roman"/>
          <w:sz w:val="32"/>
          <w:szCs w:val="32"/>
          <w:shd w:val="clear" w:color="auto" w:fill="FFFFFF"/>
          <w:lang w:eastAsia="zh-CN"/>
        </w:rPr>
        <w:t>。与此同时，院内人员支出和医疗支出等相关费用亦相应减少。</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lang w:val="en-US" w:eastAsia="zh-CN"/>
        </w:rPr>
        <w:t>1</w:t>
      </w:r>
      <w:r>
        <w:rPr>
          <w:rStyle w:val="13"/>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sz w:val="32"/>
          <w:szCs w:val="32"/>
          <w:shd w:val="clear" w:color="auto" w:fill="FFFFFF"/>
        </w:rPr>
        <w:t>2024年度收入合计972.42万元，与2023年度相比，减少147.56万元，下降13.2%，主要原因是</w:t>
      </w:r>
      <w:r>
        <w:rPr>
          <w:rFonts w:hint="default"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事业收入减少</w:t>
      </w:r>
      <w:r>
        <w:rPr>
          <w:rFonts w:hint="eastAsia"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了</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20.05万元，财政拨款收入减少</w:t>
      </w:r>
      <w:r>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了</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71.29万元，其他收入减少</w:t>
      </w:r>
      <w:r>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了</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56.20万元</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sz w:val="32"/>
          <w:szCs w:val="32"/>
          <w:shd w:val="clear" w:color="auto" w:fill="FFFFFF"/>
        </w:rPr>
        <w:t>其中：财政拨款收入459.12万元，占47.2%；事业收入507.46万元，占52.2%；经营收入0.00万元，占0.0%；其他收入5.85万元，占0.6%。此外，使用非财政拨款结余</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专用结余0.00万元，年初结转和结余32.60万元。</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lang w:val="en-US" w:eastAsia="zh-CN"/>
        </w:rPr>
        <w:t>2</w:t>
      </w:r>
      <w:r>
        <w:rPr>
          <w:rStyle w:val="13"/>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sz w:val="32"/>
          <w:szCs w:val="32"/>
          <w:shd w:val="clear" w:color="auto" w:fill="FFFFFF"/>
        </w:rPr>
        <w:t>2024年度支出合计1005.02万元，与2023年度相比，减少98.73万元，下降8.9%，</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主要原因是医疗支出</w:t>
      </w:r>
      <w:r>
        <w:rPr>
          <w:rFonts w:hint="eastAsia"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和</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财政拨款支出</w:t>
      </w:r>
      <w:r>
        <w:rPr>
          <w:rFonts w:hint="eastAsia"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均有所</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减少，其中财政拨款减少了医疗专用设备支出</w:t>
      </w:r>
      <w:r>
        <w:rPr>
          <w:rFonts w:hint="default"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及医务人员临时性工作补助支出</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，医疗支出</w:t>
      </w:r>
      <w:r>
        <w:rPr>
          <w:rFonts w:hint="eastAsia"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减少了</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药品、耗材、人员工资、办公等支出。</w:t>
      </w:r>
      <w:r>
        <w:rPr>
          <w:rFonts w:hint="default" w:ascii="Times New Roman" w:hAnsi="Times New Roman" w:eastAsia="方正仿宋_GBK" w:cs="Times New Roman"/>
          <w:sz w:val="32"/>
          <w:szCs w:val="32"/>
          <w:shd w:val="clear" w:color="auto" w:fill="FFFFFF"/>
        </w:rPr>
        <w:t>其中：基本支出998.70万元，占99.4%；项目支出6.32万元，占0.6%；经营支出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lang w:eastAsia="zh-CN"/>
        </w:rPr>
      </w:pPr>
      <w:r>
        <w:rPr>
          <w:rStyle w:val="13"/>
          <w:rFonts w:hint="default" w:ascii="Times New Roman" w:hAnsi="Times New Roman" w:eastAsia="方正仿宋_GBK" w:cs="Times New Roman"/>
          <w:b w:val="0"/>
          <w:bCs/>
          <w:sz w:val="32"/>
          <w:szCs w:val="32"/>
          <w:shd w:val="clear" w:color="auto" w:fill="FFFFFF"/>
          <w:lang w:val="en-US" w:eastAsia="zh-CN"/>
        </w:rPr>
        <w:t>3</w:t>
      </w:r>
      <w:r>
        <w:rPr>
          <w:rStyle w:val="13"/>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b w:val="0"/>
          <w:bCs/>
          <w:sz w:val="32"/>
          <w:szCs w:val="32"/>
          <w:shd w:val="clear" w:color="auto" w:fill="FFFFFF"/>
        </w:rPr>
        <w:t>2024年度年末结转和结余0.00万元，与2023年度相比，减少32.60万元，下降100.0%，主要原因是</w:t>
      </w:r>
      <w:r>
        <w:rPr>
          <w:rFonts w:hint="eastAsia" w:ascii="Times New Roman" w:hAnsi="Times New Roman" w:eastAsia="方正仿宋_GBK" w:cs="Times New Roman"/>
          <w:b w:val="0"/>
          <w:bCs/>
          <w:color w:val="auto"/>
          <w:sz w:val="32"/>
          <w:szCs w:val="32"/>
          <w:shd w:val="clear" w:color="auto" w:fill="FFFFFF"/>
          <w:lang w:val="en-US" w:eastAsia="zh-CN"/>
        </w:rPr>
        <w:t xml:space="preserve">2023年的结转结余，系2022年绩效清算拨款尚未发放所致，本年度并无相关情况。 </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shd w:val="clear" w:color="auto" w:fill="FFFFFF"/>
        </w:rPr>
        <w:t>2024年度财政拨款收、支总计均为491.71万元。与2023年</w:t>
      </w:r>
      <w:r>
        <w:rPr>
          <w:rFonts w:hint="default" w:ascii="Times New Roman" w:hAnsi="Times New Roman" w:eastAsia="方正仿宋_GBK" w:cs="Times New Roman"/>
          <w:sz w:val="32"/>
          <w:szCs w:val="32"/>
          <w:shd w:val="clear" w:color="auto" w:fill="FFFFFF"/>
          <w:lang w:eastAsia="zh-CN"/>
        </w:rPr>
        <w:t>度</w:t>
      </w:r>
      <w:r>
        <w:rPr>
          <w:rFonts w:hint="default" w:ascii="Times New Roman" w:hAnsi="Times New Roman" w:eastAsia="方正仿宋_GBK" w:cs="Times New Roman"/>
          <w:sz w:val="32"/>
          <w:szCs w:val="32"/>
          <w:shd w:val="clear" w:color="auto" w:fill="FFFFFF"/>
        </w:rPr>
        <w:t>相比，财政拨款收、支总计各减少38.70万元，下降7.3%。主要原因</w:t>
      </w:r>
      <w:r>
        <w:rPr>
          <w:rFonts w:hint="default" w:ascii="Times New Roman" w:hAnsi="Times New Roman" w:eastAsia="方正仿宋_GBK" w:cs="Times New Roman"/>
          <w:b w:val="0"/>
          <w:bCs w:val="0"/>
          <w:sz w:val="32"/>
          <w:szCs w:val="32"/>
          <w:shd w:val="clear" w:color="auto" w:fill="FFFFFF"/>
        </w:rPr>
        <w:t>是本单位2024年度减少</w:t>
      </w:r>
      <w:r>
        <w:rPr>
          <w:rFonts w:hint="eastAsia" w:ascii="Times New Roman" w:hAnsi="Times New Roman" w:eastAsia="方正仿宋_GBK" w:cs="Times New Roman"/>
          <w:b w:val="0"/>
          <w:bCs w:val="0"/>
          <w:sz w:val="32"/>
          <w:szCs w:val="32"/>
          <w:shd w:val="clear" w:color="auto" w:fill="FFFFFF"/>
          <w:lang w:eastAsia="zh-CN"/>
        </w:rPr>
        <w:t>了</w:t>
      </w:r>
      <w:r>
        <w:rPr>
          <w:rFonts w:hint="default" w:ascii="Times New Roman" w:hAnsi="Times New Roman" w:eastAsia="方正仿宋_GBK" w:cs="Times New Roman"/>
          <w:b w:val="0"/>
          <w:bCs w:val="0"/>
          <w:sz w:val="32"/>
          <w:szCs w:val="32"/>
          <w:shd w:val="clear" w:color="auto" w:fill="FFFFFF"/>
        </w:rPr>
        <w:t>医疗设备购置、医务人员临时性工作补助、健康礼包经费、一次性增核绩效收入，相应支出也</w:t>
      </w:r>
      <w:r>
        <w:rPr>
          <w:rFonts w:hint="default" w:ascii="Times New Roman" w:hAnsi="Times New Roman" w:eastAsia="方正仿宋_GBK" w:cs="Times New Roman"/>
          <w:b w:val="0"/>
          <w:bCs w:val="0"/>
          <w:sz w:val="32"/>
          <w:szCs w:val="32"/>
          <w:shd w:val="clear" w:color="auto" w:fill="FFFFFF"/>
          <w:lang w:eastAsia="zh-CN"/>
        </w:rPr>
        <w:t>减少</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（三）一般公共预算财政拨款收入支出决算情况说明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Style w:val="13"/>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sz w:val="32"/>
          <w:szCs w:val="32"/>
          <w:shd w:val="clear" w:color="auto" w:fill="FFFFFF"/>
        </w:rPr>
        <w:t>2024年度一般公共预算财政拨款收入459.12万元，与2023年度相比，减少71.29万元，下降13.4%。主要原因是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本单位202</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4</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年度</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减少</w:t>
      </w:r>
      <w:r>
        <w:rPr>
          <w:rFonts w:hint="eastAsia"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了</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医疗设备购置、医务人员临时性工作补助、健康礼包经费、一次性增核绩效收入</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方正仿宋_GBK" w:cs="Times New Roman"/>
          <w:sz w:val="32"/>
          <w:szCs w:val="32"/>
          <w:shd w:val="clear" w:color="auto" w:fill="FFFFFF"/>
        </w:rPr>
        <w:t>较年初预算数增加143.86万元，增长45.6%。主要原因是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年初预算是根据单位情况预估核算，实际财政拨款收入由财政根据资金分配情况统一安排拨款</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方正仿宋_GBK" w:cs="Times New Roman"/>
          <w:sz w:val="32"/>
          <w:szCs w:val="32"/>
          <w:shd w:val="clear" w:color="auto" w:fill="FFFFFF"/>
        </w:rPr>
        <w:t>此外，年初财政拨款结转和结余32.60万元。</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FF0000"/>
          <w:sz w:val="32"/>
          <w:szCs w:val="32"/>
          <w:shd w:val="clear" w:color="auto" w:fill="FFFFFF"/>
          <w:lang w:eastAsia="zh-CN"/>
        </w:rPr>
      </w:pPr>
      <w:r>
        <w:rPr>
          <w:rStyle w:val="13"/>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b w:val="0"/>
          <w:bCs/>
          <w:sz w:val="32"/>
          <w:szCs w:val="32"/>
          <w:shd w:val="clear" w:color="auto" w:fill="FFFFFF"/>
        </w:rPr>
        <w:t>2024年度一般公共预算财政拨款支出491.71万元，与2023年度相比，减少6.10万元，下降1.2%。主要原因</w:t>
      </w:r>
      <w:r>
        <w:rPr>
          <w:rFonts w:hint="default" w:ascii="Times New Roman" w:hAnsi="Times New Roman" w:eastAsia="方正仿宋_GBK" w:cs="Times New Roman"/>
          <w:b w:val="0"/>
          <w:bCs/>
          <w:color w:val="000000" w:themeColor="text1"/>
          <w:sz w:val="32"/>
          <w:szCs w:val="32"/>
          <w:shd w:val="clear" w:color="auto" w:fill="FFFFFF"/>
          <w14:textFill>
            <w14:solidFill>
              <w14:schemeClr w14:val="tx1"/>
            </w14:solidFill>
          </w14:textFill>
        </w:rPr>
        <w:t>是</w:t>
      </w:r>
      <w:r>
        <w:rPr>
          <w:rFonts w:hint="default" w:ascii="Times New Roman" w:hAnsi="Times New Roman" w:eastAsia="方正仿宋_GBK" w:cs="Times New Roman"/>
          <w:b w:val="0"/>
          <w:bCs/>
          <w:color w:val="000000" w:themeColor="text1"/>
          <w:sz w:val="32"/>
          <w:szCs w:val="32"/>
          <w:shd w:val="clear" w:color="auto" w:fill="FFFFFF"/>
          <w:lang w:eastAsia="zh-CN"/>
          <w14:textFill>
            <w14:solidFill>
              <w14:schemeClr w14:val="tx1"/>
            </w14:solidFill>
          </w14:textFill>
        </w:rPr>
        <w:t>人员支出减少</w:t>
      </w:r>
      <w:r>
        <w:rPr>
          <w:rFonts w:hint="default" w:ascii="Times New Roman" w:hAnsi="Times New Roman" w:eastAsia="方正仿宋_GBK" w:cs="Times New Roman"/>
          <w:b w:val="0"/>
          <w:bCs/>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b w:val="0"/>
          <w:bCs/>
          <w:sz w:val="32"/>
          <w:szCs w:val="32"/>
          <w:shd w:val="clear" w:color="auto" w:fill="FFFFFF"/>
        </w:rPr>
        <w:t>较年初预算数增加176.45万元，增长56.0%。主要原因是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年初预算是根据单位情况预估核算，实际财政拨款收入由财政根据资金分配情况统一安排拨款</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r>
        <w:rPr>
          <w:rFonts w:hint="default" w:ascii="Times New Roman" w:hAnsi="Times New Roman" w:eastAsia="方正仿宋_GBK" w:cs="Times New Roman"/>
          <w:b w:val="0"/>
          <w:bCs w:val="0"/>
          <w:sz w:val="32"/>
          <w:szCs w:val="32"/>
          <w:highlight w:val="none"/>
        </w:rPr>
        <w:t>因此财政拨款支出与年初预算有相应差异</w:t>
      </w:r>
      <w:r>
        <w:rPr>
          <w:rFonts w:hint="default" w:ascii="Times New Roman" w:hAnsi="Times New Roman" w:eastAsia="方正仿宋_GBK" w:cs="Times New Roman"/>
          <w:b w:val="0"/>
          <w:bCs w:val="0"/>
          <w:sz w:val="32"/>
          <w:szCs w:val="32"/>
          <w:highlight w:val="none"/>
          <w:lang w:eastAsia="zh-CN"/>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highlight w:val="none"/>
          <w:shd w:val="clear" w:color="auto" w:fill="FFFFFF"/>
        </w:rPr>
      </w:pPr>
      <w:r>
        <w:rPr>
          <w:rFonts w:hint="default" w:ascii="Times New Roman" w:hAnsi="Times New Roman" w:eastAsia="方正仿宋_GBK" w:cs="Times New Roman"/>
          <w:sz w:val="32"/>
          <w:szCs w:val="32"/>
          <w:highlight w:val="none"/>
          <w:shd w:val="clear" w:color="auto" w:fill="FFFFFF"/>
        </w:rPr>
        <w:t>一般公共预算财政拨款支出主要</w:t>
      </w:r>
      <w:r>
        <w:rPr>
          <w:rFonts w:hint="default" w:ascii="Times New Roman" w:hAnsi="Times New Roman" w:eastAsia="方正仿宋_GBK" w:cs="Times New Roman"/>
          <w:sz w:val="32"/>
          <w:szCs w:val="32"/>
          <w:highlight w:val="none"/>
          <w:shd w:val="clear" w:color="auto" w:fill="FFFFFF"/>
          <w:lang w:eastAsia="zh-CN"/>
        </w:rPr>
        <w:t>用途如下</w:t>
      </w:r>
      <w:r>
        <w:rPr>
          <w:rFonts w:hint="default" w:ascii="Times New Roman" w:hAnsi="Times New Roman" w:eastAsia="方正仿宋_GBK" w:cs="Times New Roman"/>
          <w:sz w:val="32"/>
          <w:szCs w:val="32"/>
          <w:highlight w:val="none"/>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就业支出66.65万元，占13.6%，较年初预算数增加15.59万元，增长30.5%，主要原因是</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2024年度补缴了在职人员及退休人员养老保险、职业年金</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）卫生健康支出407.93万元，占83.0%，较年初预算数增加160.74万元，增长65.0%，主要原因是年初预算时基本公卫拨款、</w:t>
      </w:r>
      <w:r>
        <w:rPr>
          <w:rFonts w:hint="default" w:ascii="Times New Roman" w:hAnsi="Times New Roman" w:eastAsia="方正仿宋_GBK" w:cs="Times New Roman"/>
          <w:sz w:val="32"/>
          <w:szCs w:val="32"/>
          <w:shd w:val="clear" w:color="auto" w:fill="FFFFFF"/>
          <w:lang w:eastAsia="zh-CN"/>
        </w:rPr>
        <w:t>乡村医生专项补助</w:t>
      </w:r>
      <w:r>
        <w:rPr>
          <w:rFonts w:hint="default" w:ascii="Times New Roman" w:hAnsi="Times New Roman" w:eastAsia="方正仿宋_GBK" w:cs="Times New Roman"/>
          <w:sz w:val="32"/>
          <w:szCs w:val="32"/>
          <w:shd w:val="clear" w:color="auto" w:fill="FFFFFF"/>
        </w:rPr>
        <w:t>经费未列入预算和年初做预算的时候社保、公积金缴费基数包含了超额绩效部分，实际执行时未包含</w:t>
      </w:r>
      <w:r>
        <w:rPr>
          <w:rFonts w:hint="default" w:ascii="Times New Roman" w:hAnsi="Times New Roman" w:eastAsia="方正仿宋_GBK" w:cs="Times New Roman"/>
          <w:sz w:val="32"/>
          <w:szCs w:val="32"/>
          <w:shd w:val="clear" w:color="auto" w:fill="FFFFFF"/>
          <w:lang w:eastAsia="zh-CN"/>
        </w:rPr>
        <w:t>。</w:t>
      </w: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17.13万元，占3.5%，较年初预算数增加0.11万元，增长0.7%，主要原因是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本单位</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在编职工</w:t>
      </w:r>
      <w:r>
        <w:rPr>
          <w:rFonts w:hint="eastAsia" w:ascii="Times New Roman" w:hAnsi="Times New Roman" w:eastAsia="方正仿宋_GBK" w:cs="Times New Roman"/>
          <w:b w:val="0"/>
          <w:bCs w:val="0"/>
          <w:color w:val="000000" w:themeColor="text1"/>
          <w:sz w:val="32"/>
          <w:szCs w:val="32"/>
          <w:shd w:val="clear" w:color="auto" w:fill="FFFFFF"/>
          <w:lang w:val="en-US" w:eastAsia="zh-CN" w:bidi="ar-SA"/>
          <w14:textFill>
            <w14:solidFill>
              <w14:schemeClr w14:val="tx1"/>
            </w14:solidFill>
          </w14:textFill>
        </w:rPr>
        <w:t>人数</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增加</w:t>
      </w:r>
      <w:r>
        <w:rPr>
          <w:rFonts w:hint="default" w:ascii="Times New Roman" w:hAnsi="Times New Roman" w:eastAsia="方正仿宋_GBK" w:cs="Times New Roman"/>
          <w:b w:val="0"/>
          <w:bCs w:val="0"/>
          <w:color w:val="000000" w:themeColor="text1"/>
          <w:sz w:val="32"/>
          <w:szCs w:val="32"/>
          <w:shd w:val="clear" w:color="auto" w:fill="FFFFFF"/>
          <w:lang w:val="en-US" w:eastAsia="zh-CN"/>
          <w14:textFill>
            <w14:solidFill>
              <w14:schemeClr w14:val="tx1"/>
            </w14:solidFill>
          </w14:textFill>
        </w:rPr>
        <w:t>1</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w:t>
      </w:r>
      <w:r>
        <w:rPr>
          <w:rFonts w:hint="default"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color w:val="FF0000"/>
          <w:sz w:val="32"/>
          <w:szCs w:val="32"/>
          <w:shd w:val="clear" w:color="auto" w:fill="FFFFFF"/>
        </w:rPr>
      </w:pPr>
      <w:r>
        <w:rPr>
          <w:rStyle w:val="13"/>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b w:val="0"/>
          <w:bCs/>
          <w:sz w:val="32"/>
          <w:szCs w:val="32"/>
          <w:shd w:val="clear" w:color="auto" w:fill="FFFFFF"/>
        </w:rPr>
        <w:t>2024年度年末一般公共预算财政拨款结转和结余0.00万元，与2023年度相比，减少32.60万元，下降100.0%，主要原因是</w:t>
      </w:r>
      <w:r>
        <w:rPr>
          <w:rFonts w:hint="eastAsia" w:ascii="Times New Roman" w:hAnsi="Times New Roman" w:eastAsia="方正仿宋_GBK" w:cs="Times New Roman"/>
          <w:b w:val="0"/>
          <w:bCs/>
          <w:color w:val="auto"/>
          <w:sz w:val="32"/>
          <w:szCs w:val="32"/>
          <w:shd w:val="clear" w:color="auto" w:fill="FFFFFF"/>
          <w:lang w:val="en-US" w:eastAsia="zh-CN"/>
        </w:rPr>
        <w:t>2023年的结转结余，系2022年绩效清算拨款尚未发放所致，本年度并无相关情况。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（四）一般公共预算财政拨款基本支出决算情况说明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2024年度一般公共财政拨款基本支出485.39万元。</w:t>
      </w:r>
      <w:r>
        <w:rPr>
          <w:rFonts w:hint="eastAsia"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rPr>
        <w:t>其中：</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pPr>
      <w:r>
        <w:rPr>
          <w:rFonts w:hint="default" w:ascii="Times New Roman" w:hAnsi="Times New Roman" w:eastAsia="方正仿宋_GBK" w:cs="Times New Roman"/>
          <w:sz w:val="32"/>
          <w:szCs w:val="32"/>
          <w:shd w:val="clear" w:color="auto" w:fill="FFFFFF"/>
        </w:rPr>
        <w:t>人员经费485.39万元，与2023年度相比，增加22.90万元，增长5.0%，主要原因是</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人员工资标准调整及人员</w:t>
      </w:r>
      <w:r>
        <w:rPr>
          <w:rFonts w:hint="eastAsia"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人数</w:t>
      </w:r>
      <w:r>
        <w:rPr>
          <w:rFonts w:hint="default" w:ascii="Times New Roman" w:hAnsi="Times New Roman" w:eastAsia="方正仿宋_GBK" w:cs="Times New Roman"/>
          <w:b w:val="0"/>
          <w:bCs w:val="0"/>
          <w:color w:val="000000" w:themeColor="text1"/>
          <w:sz w:val="32"/>
          <w:szCs w:val="32"/>
          <w:shd w:val="clear" w:color="auto" w:fill="FFFFFF"/>
          <w14:textFill>
            <w14:solidFill>
              <w14:schemeClr w14:val="tx1"/>
            </w14:solidFill>
          </w14:textFill>
        </w:rPr>
        <w:t>增加</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w:t>
      </w:r>
      <w:r>
        <w:rPr>
          <w:rFonts w:hint="default" w:ascii="Times New Roman" w:hAnsi="Times New Roman" w:eastAsia="方正仿宋_GBK" w:cs="Times New Roman"/>
          <w:sz w:val="32"/>
          <w:szCs w:val="32"/>
          <w:shd w:val="clear" w:color="auto" w:fill="FFFFFF"/>
        </w:rPr>
        <w:t>人</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员经费用途主要包括人员社会保障、工资、绩效、津补贴支出。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公用经费0.00万元，与2023年度相比，无增减，</w:t>
      </w:r>
      <w:r>
        <w:rPr>
          <w:rFonts w:hint="default" w:ascii="Times New Roman" w:hAnsi="Times New Roman" w:eastAsia="方正仿宋_GBK" w:cs="Times New Roman"/>
          <w:b w:val="0"/>
          <w:bCs w:val="0"/>
          <w:sz w:val="32"/>
          <w:szCs w:val="32"/>
          <w:shd w:val="clear" w:color="auto" w:fill="FFFFFF"/>
        </w:rPr>
        <w:t>主要原因是</w:t>
      </w:r>
      <w:r>
        <w:rPr>
          <w:rFonts w:hint="default" w:ascii="Times New Roman" w:hAnsi="Times New Roman" w:eastAsia="方正仿宋_GBK" w:cs="Times New Roman"/>
          <w:b w:val="0"/>
          <w:bCs w:val="0"/>
          <w:sz w:val="32"/>
          <w:szCs w:val="32"/>
          <w:highlight w:val="none"/>
          <w:lang w:eastAsia="zh-CN"/>
        </w:rPr>
        <w:t>本单位属于差额拨款，</w:t>
      </w:r>
      <w:r>
        <w:rPr>
          <w:rFonts w:hint="default" w:ascii="Times New Roman" w:hAnsi="Times New Roman" w:eastAsia="方正仿宋_GBK" w:cs="Times New Roman"/>
          <w:b w:val="0"/>
          <w:bCs w:val="0"/>
          <w:sz w:val="32"/>
          <w:szCs w:val="32"/>
          <w:highlight w:val="none"/>
        </w:rPr>
        <w:t>公用经费</w:t>
      </w:r>
      <w:r>
        <w:rPr>
          <w:rFonts w:hint="default" w:ascii="Times New Roman" w:hAnsi="Times New Roman" w:eastAsia="方正仿宋_GBK" w:cs="Times New Roman"/>
          <w:b w:val="0"/>
          <w:bCs w:val="0"/>
          <w:sz w:val="32"/>
          <w:szCs w:val="32"/>
          <w:highlight w:val="none"/>
          <w:lang w:eastAsia="zh-CN"/>
        </w:rPr>
        <w:t>支出由单位自筹。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（五）政府性基金预算收支决算情况说明</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本单位202</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年度无政府性基金预算财政拨款收支。</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（六）国有资本经营预算财政拨款支出决算情况说明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本单位202</w:t>
      </w:r>
      <w:r>
        <w:rPr>
          <w:rFonts w:hint="default" w:ascii="Times New Roman" w:hAnsi="Times New Roman" w:eastAsia="方正仿宋_GBK" w:cs="Times New Roman"/>
          <w:b w:val="0"/>
          <w:bCs w:val="0"/>
          <w:sz w:val="32"/>
          <w:szCs w:val="32"/>
          <w:shd w:val="clear" w:color="auto" w:fill="FFFFFF"/>
          <w:lang w:val="en-US" w:eastAsia="zh-CN"/>
        </w:rPr>
        <w:t>4</w:t>
      </w:r>
      <w:r>
        <w:rPr>
          <w:rFonts w:hint="default" w:ascii="Times New Roman" w:hAnsi="Times New Roman" w:eastAsia="方正仿宋_GBK" w:cs="Times New Roman"/>
          <w:b w:val="0"/>
          <w:bCs w:val="0"/>
          <w:sz w:val="32"/>
          <w:szCs w:val="32"/>
          <w:shd w:val="clear" w:color="auto" w:fill="FFFFFF"/>
        </w:rPr>
        <w:t>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黑体_GBK" w:cs="Times New Roman"/>
          <w:b w:val="0"/>
          <w:bCs/>
          <w:sz w:val="32"/>
          <w:szCs w:val="32"/>
          <w:shd w:val="clear" w:color="auto" w:fill="FFFFFF"/>
        </w:rPr>
      </w:pPr>
      <w:r>
        <w:rPr>
          <w:rStyle w:val="13"/>
          <w:rFonts w:hint="default" w:ascii="Times New Roman" w:hAnsi="Times New Roman" w:eastAsia="方正黑体_GBK" w:cs="Times New Roman"/>
          <w:b w:val="0"/>
          <w:bCs/>
          <w:sz w:val="32"/>
          <w:szCs w:val="32"/>
          <w:shd w:val="clear" w:color="auto" w:fill="FFFFFF"/>
        </w:rPr>
        <w:t>三、</w:t>
      </w:r>
      <w:r>
        <w:rPr>
          <w:rStyle w:val="13"/>
          <w:rFonts w:hint="default" w:ascii="Times New Roman" w:hAnsi="Times New Roman" w:eastAsia="方正黑体_GBK" w:cs="Times New Roman"/>
          <w:b w:val="0"/>
          <w:bCs/>
          <w:sz w:val="32"/>
          <w:szCs w:val="32"/>
          <w:shd w:val="clear" w:color="auto" w:fill="FFFFFF"/>
          <w:lang w:eastAsia="zh-CN"/>
        </w:rPr>
        <w:t>财政拨款</w:t>
      </w:r>
      <w:r>
        <w:rPr>
          <w:rStyle w:val="13"/>
          <w:rFonts w:hint="default" w:ascii="Times New Roman" w:hAnsi="Times New Roman" w:eastAsia="方正黑体_GBK" w:cs="Times New Roman"/>
          <w:b w:val="0"/>
          <w:bCs/>
          <w:sz w:val="32"/>
          <w:szCs w:val="32"/>
          <w:shd w:val="clear" w:color="auto" w:fill="FFFFFF"/>
        </w:rPr>
        <w:t>“三公”经费情况说明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（一）“三公”经费支出总体情况说明</w:t>
      </w:r>
    </w:p>
    <w:p>
      <w:pPr>
        <w:pStyle w:val="14"/>
        <w:keepNext w:val="0"/>
        <w:keepLines w:val="0"/>
        <w:pageBreakBefore w:val="0"/>
        <w:widowControl w:val="0"/>
        <w:kinsoku/>
        <w:wordWrap/>
        <w:overflowPunct/>
        <w:topLinePunct w:val="0"/>
        <w:autoSpaceDE w:val="0"/>
        <w:autoSpaceDN/>
        <w:bidi w:val="0"/>
        <w:adjustRightInd/>
        <w:spacing w:beforeAutospacing="0" w:afterAutospacing="0" w:line="560" w:lineRule="exact"/>
        <w:ind w:left="0" w:leftChars="0" w:firstLine="640" w:firstLineChars="200"/>
        <w:jc w:val="both"/>
        <w:textAlignment w:val="auto"/>
        <w:outlineLvl w:val="9"/>
        <w:rPr>
          <w:rFonts w:hint="default" w:ascii="Times New Roman" w:hAnsi="Times New Roman" w:eastAsia="方正仿宋_GBK" w:cs="Times New Roman"/>
          <w:b w:val="0"/>
          <w:bCs w:val="0"/>
          <w:color w:val="auto"/>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lang w:eastAsia="zh-CN"/>
        </w:rPr>
        <w:t>本单位</w:t>
      </w:r>
      <w:r>
        <w:rPr>
          <w:rFonts w:hint="default" w:ascii="Times New Roman" w:hAnsi="Times New Roman" w:eastAsia="方正仿宋_GBK" w:cs="Times New Roman"/>
          <w:b w:val="0"/>
          <w:bCs w:val="0"/>
          <w:color w:val="auto"/>
          <w:sz w:val="32"/>
          <w:szCs w:val="32"/>
          <w:shd w:val="clear" w:color="auto" w:fill="FFFFFF"/>
        </w:rPr>
        <w:t>属于差额拨款事业单位，财政未保障“三公”经费。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（二）“三公”经费分项支出情况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kinsoku/>
        <w:wordWrap/>
        <w:overflowPunct/>
        <w:topLinePunct w:val="0"/>
        <w:autoSpaceDE/>
        <w:autoSpaceDN/>
        <w:bidi w:val="0"/>
        <w:adjustRightInd/>
        <w:spacing w:line="560" w:lineRule="exact"/>
        <w:ind w:left="0" w:firstLine="640" w:firstLineChars="200"/>
        <w:jc w:val="both"/>
        <w:textAlignment w:val="auto"/>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（三）“三公”经费实物量情况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人均接待费0</w:t>
      </w:r>
      <w:r>
        <w:rPr>
          <w:rFonts w:hint="eastAsia" w:ascii="Times New Roman" w:hAnsi="Times New Roman" w:eastAsia="方正仿宋_GBK" w:cs="Times New Roman"/>
          <w:sz w:val="32"/>
          <w:szCs w:val="32"/>
          <w:shd w:val="clear" w:color="auto" w:fill="FFFFFF"/>
          <w:lang w:val="en-US" w:eastAsia="zh-CN"/>
        </w:rPr>
        <w:t>.00万</w:t>
      </w:r>
      <w:r>
        <w:rPr>
          <w:rFonts w:hint="default" w:ascii="Times New Roman" w:hAnsi="Times New Roman" w:eastAsia="方正仿宋_GBK" w:cs="Times New Roman"/>
          <w:sz w:val="32"/>
          <w:szCs w:val="32"/>
          <w:shd w:val="clear" w:color="auto" w:fill="FFFFFF"/>
        </w:rPr>
        <w:t>元，车均购置费0</w:t>
      </w:r>
      <w:r>
        <w:rPr>
          <w:rFonts w:hint="eastAsia" w:ascii="Times New Roman" w:hAnsi="Times New Roman" w:eastAsia="方正仿宋_GBK" w:cs="Times New Roman"/>
          <w:sz w:val="32"/>
          <w:szCs w:val="32"/>
          <w:shd w:val="clear" w:color="auto" w:fill="FFFFFF"/>
          <w:lang w:val="en-US" w:eastAsia="zh-CN"/>
        </w:rPr>
        <w:t>.00</w:t>
      </w:r>
      <w:r>
        <w:rPr>
          <w:rFonts w:hint="default" w:ascii="Times New Roman" w:hAnsi="Times New Roman" w:eastAsia="方正仿宋_GBK" w:cs="Times New Roman"/>
          <w:sz w:val="32"/>
          <w:szCs w:val="32"/>
          <w:shd w:val="clear" w:color="auto" w:fill="FFFFFF"/>
        </w:rPr>
        <w:t>万元，车均维护费0</w:t>
      </w:r>
      <w:r>
        <w:rPr>
          <w:rFonts w:hint="eastAsia" w:ascii="Times New Roman" w:hAnsi="Times New Roman" w:eastAsia="方正仿宋_GBK" w:cs="Times New Roman"/>
          <w:sz w:val="32"/>
          <w:szCs w:val="32"/>
          <w:shd w:val="clear" w:color="auto" w:fill="FFFFFF"/>
          <w:lang w:val="en-US" w:eastAsia="zh-CN"/>
        </w:rPr>
        <w:t>.00</w:t>
      </w:r>
      <w:r>
        <w:rPr>
          <w:rFonts w:hint="default" w:ascii="Times New Roman" w:hAnsi="Times New Roman" w:eastAsia="方正仿宋_GBK" w:cs="Times New Roman"/>
          <w:sz w:val="32"/>
          <w:szCs w:val="32"/>
          <w:shd w:val="clear" w:color="auto" w:fill="FFFFFF"/>
        </w:rPr>
        <w:t>万元。</w:t>
      </w:r>
    </w:p>
    <w:p>
      <w:pPr>
        <w:pStyle w:val="8"/>
        <w:keepNext w:val="0"/>
        <w:keepLines w:val="0"/>
        <w:pageBreakBefore w:val="0"/>
        <w:widowControl/>
        <w:shd w:val="clear" w:color="auto" w:fill="FFFFFF"/>
        <w:tabs>
          <w:tab w:val="left" w:pos="0"/>
          <w:tab w:val="left" w:pos="480"/>
        </w:tabs>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黑体_GBK" w:cs="Times New Roman"/>
          <w:b w:val="0"/>
          <w:bCs/>
          <w:sz w:val="32"/>
          <w:szCs w:val="32"/>
          <w:shd w:val="clear" w:color="auto" w:fill="FFFFFF"/>
        </w:rPr>
      </w:pPr>
      <w:r>
        <w:rPr>
          <w:rStyle w:val="13"/>
          <w:rFonts w:hint="default" w:ascii="Times New Roman" w:hAnsi="Times New Roman" w:eastAsia="方正黑体_GBK" w:cs="Times New Roman"/>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（一）财政拨款会议费、培训费和差旅费情况说明</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color w:val="auto"/>
          <w:sz w:val="32"/>
          <w:szCs w:val="32"/>
        </w:rPr>
        <w:t>因</w:t>
      </w:r>
      <w:r>
        <w:rPr>
          <w:rFonts w:hint="default" w:ascii="Times New Roman" w:hAnsi="Times New Roman" w:eastAsia="方正仿宋_GBK" w:cs="Times New Roman"/>
          <w:b w:val="0"/>
          <w:bCs w:val="0"/>
          <w:color w:val="auto"/>
          <w:sz w:val="32"/>
          <w:szCs w:val="32"/>
          <w:lang w:val="en-US" w:eastAsia="zh-CN"/>
        </w:rPr>
        <w:t>本单位</w:t>
      </w:r>
      <w:r>
        <w:rPr>
          <w:rFonts w:hint="default" w:ascii="Times New Roman" w:hAnsi="Times New Roman" w:eastAsia="方正仿宋_GBK" w:cs="Times New Roman"/>
          <w:b w:val="0"/>
          <w:bCs w:val="0"/>
          <w:color w:val="auto"/>
          <w:sz w:val="32"/>
          <w:szCs w:val="32"/>
          <w:shd w:val="clear" w:color="auto" w:fill="FFFFFF"/>
        </w:rPr>
        <w:t>属于</w:t>
      </w:r>
      <w:r>
        <w:rPr>
          <w:rFonts w:hint="default" w:ascii="Times New Roman" w:hAnsi="Times New Roman" w:eastAsia="方正仿宋_GBK" w:cs="Times New Roman"/>
          <w:b w:val="0"/>
          <w:bCs w:val="0"/>
          <w:color w:val="auto"/>
          <w:sz w:val="32"/>
          <w:szCs w:val="32"/>
          <w:lang w:val="en-US" w:eastAsia="zh-CN"/>
        </w:rPr>
        <w:t>差额拨款事业单位</w:t>
      </w:r>
      <w:r>
        <w:rPr>
          <w:rFonts w:hint="default" w:ascii="Times New Roman" w:hAnsi="Times New Roman" w:eastAsia="方正仿宋_GBK" w:cs="Times New Roman"/>
          <w:b w:val="0"/>
          <w:bCs w:val="0"/>
          <w:color w:val="auto"/>
          <w:sz w:val="32"/>
          <w:szCs w:val="32"/>
        </w:rPr>
        <w:t>，财政未保障</w:t>
      </w:r>
      <w:r>
        <w:rPr>
          <w:rFonts w:hint="default" w:ascii="Times New Roman" w:hAnsi="Times New Roman" w:eastAsia="方正仿宋_GBK" w:cs="Times New Roman"/>
          <w:b w:val="0"/>
          <w:bCs w:val="0"/>
          <w:color w:val="auto"/>
          <w:sz w:val="32"/>
          <w:szCs w:val="32"/>
          <w:lang w:eastAsia="zh-CN"/>
        </w:rPr>
        <w:t>本单位</w:t>
      </w:r>
      <w:r>
        <w:rPr>
          <w:rFonts w:hint="default" w:ascii="Times New Roman" w:hAnsi="Times New Roman" w:eastAsia="方正仿宋_GBK" w:cs="Times New Roman"/>
          <w:b w:val="0"/>
          <w:bCs w:val="0"/>
          <w:color w:val="auto"/>
          <w:sz w:val="32"/>
          <w:szCs w:val="32"/>
        </w:rPr>
        <w:t>会议费</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培训费</w:t>
      </w:r>
      <w:r>
        <w:rPr>
          <w:rFonts w:hint="default" w:ascii="Times New Roman" w:hAnsi="Times New Roman" w:eastAsia="方正仿宋_GBK" w:cs="Times New Roman"/>
          <w:b w:val="0"/>
          <w:bCs w:val="0"/>
          <w:color w:val="auto"/>
          <w:sz w:val="32"/>
          <w:szCs w:val="32"/>
          <w:lang w:eastAsia="zh-CN"/>
        </w:rPr>
        <w:t>和差旅费</w:t>
      </w:r>
      <w:r>
        <w:rPr>
          <w:rFonts w:hint="default" w:ascii="Times New Roman" w:hAnsi="Times New Roman" w:eastAsia="方正仿宋_GBK" w:cs="Times New Roman"/>
          <w:b w:val="0"/>
          <w:bCs w:val="0"/>
          <w:color w:val="auto"/>
          <w:sz w:val="32"/>
          <w:szCs w:val="32"/>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（二）机关运行经费情况说明</w:t>
      </w:r>
    </w:p>
    <w:p>
      <w:pPr>
        <w:pStyle w:val="14"/>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rPr>
      </w:pPr>
      <w:r>
        <w:rPr>
          <w:rFonts w:hint="default" w:ascii="Times New Roman" w:hAnsi="Times New Roman" w:eastAsia="方正仿宋_GBK" w:cs="Times New Roman"/>
          <w:b w:val="0"/>
          <w:bCs w:val="0"/>
          <w:sz w:val="32"/>
          <w:szCs w:val="32"/>
          <w:highlight w:val="none"/>
        </w:rPr>
        <w:t>按照部门决算列报口径，因本单位为差额拨款事业单位不在机关运行经费统计范围之内。</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（三）国有资产占用情况说明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截至2024年12月31日，本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共有车辆2辆，其中，副部（省）级及以上领导用车0辆、主要负责人用车0辆、机要通信用车0辆、应急保障用车0辆、执法执勤用车0辆，特种专业技术用车2辆，离退休干部用车0辆。单价100万元（含）以上专用设备0台（套）。</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3"/>
          <w:rFonts w:hint="default" w:ascii="Times New Roman" w:hAnsi="Times New Roman" w:eastAsia="方正楷体_GBK" w:cs="Times New Roman"/>
          <w:b w:val="0"/>
          <w:bCs/>
          <w:sz w:val="32"/>
          <w:szCs w:val="32"/>
          <w:shd w:val="clear" w:color="auto" w:fill="FFFFFF"/>
        </w:rPr>
      </w:pPr>
      <w:r>
        <w:rPr>
          <w:rStyle w:val="13"/>
          <w:rFonts w:hint="default" w:ascii="Times New Roman" w:hAnsi="Times New Roman" w:eastAsia="方正楷体_GBK" w:cs="Times New Roman"/>
          <w:b w:val="0"/>
          <w:bCs/>
          <w:sz w:val="32"/>
          <w:szCs w:val="32"/>
          <w:shd w:val="clear" w:color="auto" w:fill="FFFFFF"/>
        </w:rPr>
        <w:t>（四）政府采购支出情况说明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政府采购支出总额1.01万元，其中：政府采购货物支出1.01万元、政府采购工程支出0.00万元、政府采购服务支出0.00万元。授予中小企业合同金额0.00</w:t>
      </w:r>
      <w:r>
        <w:rPr>
          <w:rFonts w:hint="default" w:ascii="Times New Roman" w:hAnsi="Times New Roman" w:eastAsia="方正仿宋_GBK" w:cs="Times New Roman"/>
          <w:sz w:val="32"/>
          <w:szCs w:val="32"/>
        </w:rPr>
        <w:t>万</w:t>
      </w:r>
      <w:r>
        <w:rPr>
          <w:rFonts w:hint="default" w:ascii="Times New Roman" w:hAnsi="Times New Roman" w:eastAsia="方正仿宋_GBK" w:cs="Times New Roman"/>
          <w:sz w:val="32"/>
          <w:szCs w:val="32"/>
          <w:shd w:val="clear" w:color="auto" w:fill="FFFFFF"/>
        </w:rPr>
        <w:t>元，占政府采购支出总额的0.0%，其中：授予小微企业合同金额0.00万元，占政府采购支出总额的0.0%。主要用于</w:t>
      </w:r>
      <w:r>
        <w:rPr>
          <w:rFonts w:hint="default" w:ascii="Times New Roman" w:hAnsi="Times New Roman" w:eastAsia="方正仿宋_GBK" w:cs="Times New Roman"/>
          <w:color w:val="000000" w:themeColor="text1"/>
          <w:sz w:val="32"/>
          <w:szCs w:val="32"/>
          <w:shd w:val="clear" w:color="auto" w:fill="FFFFFF"/>
          <w14:textFill>
            <w14:solidFill>
              <w14:schemeClr w14:val="tx1"/>
            </w14:solidFill>
          </w14:textFill>
        </w:rPr>
        <w:t>采购</w:t>
      </w:r>
      <w:r>
        <w:rPr>
          <w:rFonts w:hint="default" w:ascii="Times New Roman" w:hAnsi="Times New Roman" w:eastAsia="方正仿宋_GBK" w:cs="Times New Roman"/>
          <w:color w:val="000000" w:themeColor="text1"/>
          <w:sz w:val="32"/>
          <w:szCs w:val="32"/>
          <w:shd w:val="clear" w:color="auto" w:fill="FFFFFF"/>
          <w:lang w:eastAsia="zh-CN"/>
          <w14:textFill>
            <w14:solidFill>
              <w14:schemeClr w14:val="tx1"/>
            </w14:solidFill>
          </w14:textFill>
        </w:rPr>
        <w:t>办公用品</w:t>
      </w:r>
      <w:r>
        <w:rPr>
          <w:rFonts w:hint="default"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A4纸</w:t>
      </w:r>
      <w:r>
        <w:rPr>
          <w:rFonts w:hint="eastAsia" w:ascii="Times New Roman" w:hAnsi="Times New Roman" w:eastAsia="方正仿宋_GBK" w:cs="Times New Roman"/>
          <w:color w:val="000000" w:themeColor="text1"/>
          <w:sz w:val="32"/>
          <w:szCs w:val="32"/>
          <w:shd w:val="clear" w:color="auto" w:fill="FFFFFF"/>
          <w:lang w:val="en-US" w:eastAsia="zh-CN"/>
          <w14:textFill>
            <w14:solidFill>
              <w14:schemeClr w14:val="tx1"/>
            </w14:solidFill>
          </w14:textFill>
        </w:rPr>
        <w:t>。</w:t>
      </w:r>
    </w:p>
    <w:p>
      <w:pPr>
        <w:pStyle w:val="8"/>
        <w:keepNext w:val="0"/>
        <w:keepLines w:val="0"/>
        <w:pageBreakBefore w:val="0"/>
        <w:widowControl/>
        <w:numPr>
          <w:ilvl w:val="0"/>
          <w:numId w:val="1"/>
        </w:numPr>
        <w:shd w:val="clear" w:color="auto" w:fill="FFFFFF"/>
        <w:kinsoku/>
        <w:wordWrap/>
        <w:overflowPunct/>
        <w:topLinePunct w:val="0"/>
        <w:autoSpaceDN/>
        <w:bidi w:val="0"/>
        <w:adjustRightInd/>
        <w:spacing w:beforeAutospacing="0" w:after="0" w:afterAutospacing="0" w:line="560" w:lineRule="exact"/>
        <w:ind w:right="0" w:firstLine="640" w:firstLineChars="200"/>
        <w:jc w:val="both"/>
        <w:textAlignment w:val="auto"/>
        <w:rPr>
          <w:rStyle w:val="13"/>
          <w:rFonts w:hint="eastAsia" w:ascii="方正黑体_GBK" w:hAnsi="方正黑体_GBK" w:eastAsia="方正黑体_GBK" w:cs="方正黑体_GBK"/>
          <w:b w:val="0"/>
          <w:bCs w:val="0"/>
          <w:sz w:val="32"/>
          <w:szCs w:val="32"/>
          <w:shd w:val="clear" w:color="auto" w:fill="FFFFFF"/>
        </w:rPr>
      </w:pPr>
      <w:r>
        <w:rPr>
          <w:rStyle w:val="13"/>
          <w:rFonts w:hint="eastAsia" w:ascii="方正黑体_GBK" w:hAnsi="方正黑体_GBK" w:eastAsia="方正黑体_GBK" w:cs="方正黑体_GBK"/>
          <w:b w:val="0"/>
          <w:bCs w:val="0"/>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jc w:val="both"/>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tbl>
      <w:tblPr>
        <w:tblStyle w:val="10"/>
        <w:tblpPr w:leftFromText="180" w:rightFromText="180" w:vertAnchor="text" w:horzAnchor="page" w:tblpX="1774" w:tblpY="157"/>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0-6岁</w:t>
            </w:r>
            <w:r>
              <w:rPr>
                <w:rFonts w:hint="eastAsia" w:ascii="方正仿宋_GBK" w:hAnsi="方正仿宋_GBK" w:eastAsia="方正仿宋_GBK" w:cs="方正仿宋_GBK"/>
                <w:sz w:val="24"/>
                <w:szCs w:val="24"/>
                <w:lang w:eastAsia="zh-CN"/>
              </w:rPr>
              <w:t>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left="0" w:leftChars="0" w:firstLine="640" w:firstLineChars="200"/>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bookmarkStart w:id="0" w:name="_GoBack"/>
      <w:bookmarkEnd w:id="0"/>
    </w:p>
    <w:p>
      <w:pPr>
        <w:pStyle w:val="8"/>
        <w:keepNext w:val="0"/>
        <w:keepLines w:val="0"/>
        <w:pageBreakBefore w:val="0"/>
        <w:widowControl/>
        <w:numPr>
          <w:ilvl w:val="0"/>
          <w:numId w:val="0"/>
        </w:numPr>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sz w:val="32"/>
          <w:szCs w:val="32"/>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8"/>
        <w:keepNext w:val="0"/>
        <w:keepLines w:val="0"/>
        <w:pageBreakBefore w:val="0"/>
        <w:widowControl/>
        <w:numPr>
          <w:ilvl w:val="0"/>
          <w:numId w:val="0"/>
        </w:numPr>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3"/>
          <w:rFonts w:hint="eastAsia" w:ascii="方正黑体_GBK" w:hAnsi="方正黑体_GBK" w:eastAsia="方正黑体_GBK" w:cs="方正黑体_GBK"/>
          <w:b w:val="0"/>
          <w:bCs/>
          <w:sz w:val="32"/>
          <w:szCs w:val="32"/>
          <w:shd w:val="clear" w:color="auto" w:fill="FFFFFF"/>
        </w:rPr>
      </w:pPr>
      <w:r>
        <w:rPr>
          <w:rStyle w:val="13"/>
          <w:rFonts w:hint="eastAsia" w:ascii="方正黑体_GBK" w:hAnsi="方正黑体_GBK" w:eastAsia="方正黑体_GBK" w:cs="方正黑体_GBK"/>
          <w:b w:val="0"/>
          <w:bCs/>
          <w:sz w:val="32"/>
          <w:szCs w:val="32"/>
          <w:shd w:val="clear" w:color="auto" w:fill="FFFFFF"/>
          <w:lang w:eastAsia="zh-CN"/>
        </w:rPr>
        <w:t>六、</w:t>
      </w:r>
      <w:r>
        <w:rPr>
          <w:rStyle w:val="13"/>
          <w:rFonts w:hint="eastAsia" w:ascii="方正黑体_GBK" w:hAnsi="方正黑体_GBK" w:eastAsia="方正黑体_GBK" w:cs="方正黑体_GBK"/>
          <w:b w:val="0"/>
          <w:bCs/>
          <w:sz w:val="32"/>
          <w:szCs w:val="32"/>
          <w:shd w:val="clear" w:color="auto" w:fill="FFFFFF"/>
        </w:rPr>
        <w:t>专业名词解释</w:t>
      </w:r>
    </w:p>
    <w:p>
      <w:pPr>
        <w:pStyle w:val="8"/>
        <w:keepNext w:val="0"/>
        <w:keepLines w:val="0"/>
        <w:pageBreakBefore w:val="0"/>
        <w:widowControl/>
        <w:numPr>
          <w:ilvl w:val="0"/>
          <w:numId w:val="0"/>
        </w:numPr>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（二）事业收入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（三）经营收入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（四）其他收入</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指单位取得的除</w:t>
      </w:r>
      <w:r>
        <w:rPr>
          <w:rFonts w:hint="default" w:ascii="Times New Roman" w:hAnsi="Times New Roman" w:eastAsia="方正仿宋_GBK" w:cs="Times New Roman"/>
          <w:b w:val="0"/>
          <w:bCs w:val="0"/>
          <w:sz w:val="32"/>
          <w:szCs w:val="32"/>
          <w:shd w:val="clear" w:color="auto" w:fill="FFFFFF"/>
        </w:rPr>
        <w:t>“财政拨款收入”、“事业收入”、“经营收入”</w:t>
      </w:r>
      <w:r>
        <w:rPr>
          <w:rFonts w:ascii="方正仿宋_GBK" w:hAnsi="方正仿宋_GBK" w:eastAsia="方正仿宋_GBK" w:cs="方正仿宋_GBK"/>
          <w:sz w:val="32"/>
          <w:szCs w:val="32"/>
          <w:shd w:val="clear" w:color="auto" w:fill="FFFFFF"/>
        </w:rPr>
        <w:t>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（五）使用非财政拨款结余</w:t>
      </w:r>
      <w:r>
        <w:rPr>
          <w:rStyle w:val="13"/>
          <w:rFonts w:hint="eastAsia" w:ascii="方正楷体_GBK" w:hAnsi="方正楷体_GBK" w:eastAsia="方正楷体_GBK" w:cs="方正楷体_GBK"/>
          <w:b w:val="0"/>
          <w:bCs/>
          <w:sz w:val="32"/>
          <w:szCs w:val="32"/>
          <w:shd w:val="clear" w:color="auto" w:fill="FFFFFF"/>
          <w:lang w:eastAsia="zh-CN"/>
        </w:rPr>
        <w:t>（含专用结余）</w:t>
      </w:r>
      <w:r>
        <w:rPr>
          <w:rStyle w:val="13"/>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3"/>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13"/>
          <w:rFonts w:hint="eastAsia" w:ascii="方正楷体_GBK" w:hAnsi="方正楷体_GBK" w:eastAsia="方正楷体_GBK" w:cs="方正楷体_GBK"/>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3"/>
          <w:rFonts w:hint="default" w:ascii="方正黑体_GBK" w:hAnsi="方正黑体_GBK" w:eastAsia="方正黑体_GBK" w:cs="方正黑体_GBK"/>
          <w:b w:val="0"/>
          <w:bCs w:val="0"/>
          <w:sz w:val="32"/>
          <w:szCs w:val="32"/>
          <w:shd w:val="clear" w:color="auto" w:fill="FFFFFF"/>
        </w:rPr>
      </w:pPr>
      <w:r>
        <w:rPr>
          <w:rStyle w:val="13"/>
          <w:rFonts w:hint="eastAsia" w:ascii="方正黑体_GBK" w:hAnsi="方正黑体_GBK" w:eastAsia="方正黑体_GBK" w:cs="方正黑体_GBK"/>
          <w:b w:val="0"/>
          <w:bCs w:val="0"/>
          <w:sz w:val="32"/>
          <w:szCs w:val="32"/>
          <w:shd w:val="clear" w:color="auto" w:fill="FFFFFF"/>
          <w:lang w:eastAsia="zh-CN"/>
        </w:rPr>
        <w:t>七</w:t>
      </w:r>
      <w:r>
        <w:rPr>
          <w:rStyle w:val="13"/>
          <w:rFonts w:hint="eastAsia" w:ascii="方正黑体_GBK" w:hAnsi="方正黑体_GBK" w:eastAsia="方正黑体_GBK" w:cs="方正黑体_GBK"/>
          <w:b w:val="0"/>
          <w:bCs w:val="0"/>
          <w:sz w:val="32"/>
          <w:szCs w:val="32"/>
          <w:shd w:val="clear" w:color="auto" w:fill="FFFFFF"/>
        </w:rPr>
        <w:t>、决算公开联系方式及信息反馈渠道</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rPr>
          <w:rFonts w:hint="default" w:ascii="Times New Roman" w:hAnsi="Times New Roman" w:eastAsia="方正仿宋_GBK" w:cs="Times New Roman"/>
          <w:sz w:val="32"/>
          <w:szCs w:val="32"/>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龙洁</w:t>
      </w:r>
      <w:r>
        <w:rPr>
          <w:rFonts w:hint="default" w:ascii="Times New Roman" w:hAnsi="Times New Roman" w:eastAsia="方正仿宋_GBK" w:cs="Times New Roman"/>
          <w:sz w:val="32"/>
          <w:szCs w:val="32"/>
          <w:shd w:val="clear" w:color="auto" w:fill="FFFFFF"/>
          <w:lang w:val="en-US" w:eastAsia="zh-CN"/>
        </w:rPr>
        <w:t xml:space="preserve">  023-76624995</w:t>
      </w:r>
      <w:r>
        <w:rPr>
          <w:rFonts w:hint="eastAsia" w:ascii="Times New Roman" w:hAnsi="Times New Roman" w:eastAsia="方正仿宋_GBK" w:cs="Times New Roman"/>
          <w:sz w:val="32"/>
          <w:szCs w:val="32"/>
          <w:shd w:val="clear" w:color="auto" w:fill="FFFFFF"/>
          <w:lang w:val="en-US" w:eastAsia="zh-CN"/>
        </w:rPr>
        <w:t>。</w:t>
      </w:r>
    </w:p>
    <w:tbl>
      <w:tblPr>
        <w:tblStyle w:val="10"/>
        <w:tblpPr w:leftFromText="180" w:rightFromText="180" w:vertAnchor="text" w:horzAnchor="page" w:tblpX="1110" w:tblpY="153"/>
        <w:tblOverlap w:val="never"/>
        <w:tblW w:w="14422" w:type="dxa"/>
        <w:tblInd w:w="0" w:type="dxa"/>
        <w:tblLayout w:type="fixed"/>
        <w:tblCellMar>
          <w:top w:w="0" w:type="dxa"/>
          <w:left w:w="0" w:type="dxa"/>
          <w:bottom w:w="0" w:type="dxa"/>
          <w:right w:w="0" w:type="dxa"/>
        </w:tblCellMar>
      </w:tblPr>
      <w:tblGrid>
        <w:gridCol w:w="3979"/>
        <w:gridCol w:w="3558"/>
        <w:gridCol w:w="4044"/>
        <w:gridCol w:w="2841"/>
      </w:tblGrid>
      <w:tr>
        <w:tblPrEx>
          <w:tblCellMar>
            <w:top w:w="0" w:type="dxa"/>
            <w:left w:w="0" w:type="dxa"/>
            <w:bottom w:w="0" w:type="dxa"/>
            <w:right w:w="0" w:type="dxa"/>
          </w:tblCellMar>
        </w:tblPrEx>
        <w:trPr>
          <w:trHeight w:val="232" w:hRule="atLeast"/>
        </w:trPr>
        <w:tc>
          <w:tcPr>
            <w:tcW w:w="14422"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CellMar>
            <w:top w:w="0" w:type="dxa"/>
            <w:left w:w="0" w:type="dxa"/>
            <w:bottom w:w="0" w:type="dxa"/>
            <w:right w:w="0" w:type="dxa"/>
          </w:tblCellMar>
        </w:tblPrEx>
        <w:trPr>
          <w:trHeight w:val="232" w:hRule="atLeast"/>
        </w:trPr>
        <w:tc>
          <w:tcPr>
            <w:tcW w:w="3979"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CellMar>
            <w:top w:w="0" w:type="dxa"/>
            <w:left w:w="0" w:type="dxa"/>
            <w:bottom w:w="0" w:type="dxa"/>
            <w:right w:w="0" w:type="dxa"/>
          </w:tblCellMar>
        </w:tblPrEx>
        <w:trPr>
          <w:trHeight w:val="232" w:hRule="atLeast"/>
        </w:trPr>
        <w:tc>
          <w:tcPr>
            <w:tcW w:w="7537"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秀山土家族苗族自治县石耶镇中心卫生院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243" w:hRule="atLeast"/>
        </w:trPr>
        <w:tc>
          <w:tcPr>
            <w:tcW w:w="753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支出</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决算数</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459.12</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507.46</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5.85</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66.65</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921.23</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17.13</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972.42</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1,005.02</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4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32.60</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val="0"/>
                <w:color w:val="000000"/>
                <w:sz w:val="20"/>
                <w:szCs w:val="20"/>
              </w:rPr>
            </w:pPr>
            <w:r>
              <w:rPr>
                <w:rFonts w:cs="宋体"/>
                <w:b/>
                <w:bCs w:val="0"/>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53" w:hRule="atLeast"/>
        </w:trPr>
        <w:tc>
          <w:tcPr>
            <w:tcW w:w="397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1,005.02</w:t>
            </w:r>
            <w:r>
              <w:rPr>
                <w:rFonts w:ascii="Times New Roman" w:hAnsi="Times New Roman"/>
                <w:b w:val="0"/>
                <w:bCs/>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val="0"/>
                <w:color w:val="000000"/>
                <w:sz w:val="20"/>
                <w:szCs w:val="20"/>
              </w:rPr>
            </w:pPr>
            <w:r>
              <w:rPr>
                <w:rFonts w:cs="宋体"/>
                <w:b/>
                <w:bCs w:val="0"/>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1,005.02</w:t>
            </w:r>
            <w:r>
              <w:rPr>
                <w:rFonts w:ascii="Times New Roman" w:hAnsi="Times New Roman"/>
                <w:b w:val="0"/>
                <w:bCs/>
                <w:color w:val="000000"/>
                <w:sz w:val="20"/>
                <w:u w:color="auto"/>
              </w:rPr>
              <w:t xml:space="preserve"> </w:t>
            </w:r>
          </w:p>
        </w:tc>
      </w:tr>
    </w:tbl>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b w:val="0"/>
          <w:bCs/>
          <w:color w:val="000000" w:themeColor="text1"/>
          <w:sz w:val="32"/>
          <w:szCs w:val="32"/>
          <w:shd w:val="clear" w:color="auto" w:fill="FFFFFF"/>
          <w:lang w:val="en-US" w:eastAsia="zh-CN"/>
          <w14:textFill>
            <w14:solidFill>
              <w14:schemeClr w14:val="tx1"/>
            </w14:solidFill>
          </w14:textFill>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bidi w:val="0"/>
        <w:jc w:val="both"/>
        <w:rPr>
          <w:rFonts w:hint="eastAsia"/>
          <w:lang w:val="en-US" w:eastAsia="zh-CN"/>
        </w:rPr>
      </w:pPr>
    </w:p>
    <w:p>
      <w:pPr>
        <w:rPr>
          <w:rFonts w:hint="default" w:cs="宋体"/>
          <w:sz w:val="21"/>
          <w:szCs w:val="21"/>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rPr>
          <w:rFonts w:cs="宋体"/>
          <w:sz w:val="20"/>
          <w:szCs w:val="20"/>
        </w:rPr>
      </w:pPr>
    </w:p>
    <w:p>
      <w:pPr>
        <w:spacing w:line="240" w:lineRule="exact"/>
        <w:jc w:val="both"/>
        <w:rPr>
          <w:rFonts w:cs="宋体"/>
          <w:sz w:val="20"/>
          <w:szCs w:val="20"/>
        </w:rPr>
      </w:pPr>
    </w:p>
    <w:p>
      <w:pPr>
        <w:spacing w:line="240" w:lineRule="exact"/>
        <w:jc w:val="both"/>
        <w:rPr>
          <w:rFonts w:cs="宋体"/>
          <w:sz w:val="20"/>
          <w:szCs w:val="20"/>
        </w:rPr>
      </w:pPr>
    </w:p>
    <w:p>
      <w:pPr>
        <w:spacing w:line="240" w:lineRule="exact"/>
        <w:jc w:val="both"/>
        <w:rPr>
          <w:rFonts w:hint="default" w:eastAsia="宋体" w:cs="宋体"/>
          <w:sz w:val="20"/>
          <w:szCs w:val="20"/>
          <w:lang w:val="en-US" w:eastAsia="zh-CN"/>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hint="eastAsia" w:cs="宋体"/>
          <w:sz w:val="20"/>
          <w:szCs w:val="20"/>
          <w:lang w:eastAsia="zh-CN"/>
        </w:rPr>
        <w:t>备注：</w:t>
      </w:r>
      <w:r>
        <w:rPr>
          <w:rFonts w:hint="eastAsia" w:cs="宋体"/>
          <w:sz w:val="20"/>
          <w:szCs w:val="20"/>
          <w:lang w:val="en-US" w:eastAsia="zh-CN"/>
        </w:rPr>
        <w:t>1.</w:t>
      </w:r>
      <w:r>
        <w:rPr>
          <w:rFonts w:hint="eastAsia" w:cs="宋体"/>
          <w:sz w:val="20"/>
          <w:szCs w:val="20"/>
          <w:lang w:eastAsia="zh-CN"/>
        </w:rPr>
        <w:t>本表反映单位本年度取得的各项收入情况。</w:t>
      </w:r>
      <w:r>
        <w:rPr>
          <w:rFonts w:cs="宋体"/>
          <w:sz w:val="20"/>
          <w:szCs w:val="20"/>
        </w:rPr>
        <w:br w:type="textWrapping"/>
      </w:r>
      <w:r>
        <w:rPr>
          <w:rFonts w:hint="eastAsia" w:cs="宋体"/>
          <w:sz w:val="20"/>
          <w:szCs w:val="20"/>
          <w:lang w:val="en-US" w:eastAsia="zh-CN"/>
        </w:rPr>
        <w:t xml:space="preserve">      2.本套报表金额单位转换时可能存在尾数误差。</w:t>
      </w:r>
    </w:p>
    <w:tbl>
      <w:tblPr>
        <w:tblStyle w:val="10"/>
        <w:tblpPr w:leftFromText="180" w:rightFromText="180" w:vertAnchor="text" w:horzAnchor="page" w:tblpX="912" w:tblpY="-465"/>
        <w:tblOverlap w:val="never"/>
        <w:tblW w:w="15120" w:type="dxa"/>
        <w:tblInd w:w="0" w:type="dxa"/>
        <w:tblLayout w:type="fixed"/>
        <w:tblCellMar>
          <w:top w:w="0" w:type="dxa"/>
          <w:left w:w="0" w:type="dxa"/>
          <w:bottom w:w="0" w:type="dxa"/>
          <w:right w:w="0" w:type="dxa"/>
        </w:tblCellMar>
      </w:tblPr>
      <w:tblGrid>
        <w:gridCol w:w="1596"/>
        <w:gridCol w:w="3300"/>
        <w:gridCol w:w="975"/>
        <w:gridCol w:w="1333"/>
        <w:gridCol w:w="1225"/>
        <w:gridCol w:w="1225"/>
        <w:gridCol w:w="1286"/>
        <w:gridCol w:w="1227"/>
        <w:gridCol w:w="1356"/>
        <w:gridCol w:w="1597"/>
      </w:tblGrid>
      <w:tr>
        <w:tblPrEx>
          <w:tblCellMar>
            <w:top w:w="0" w:type="dxa"/>
            <w:left w:w="0" w:type="dxa"/>
            <w:bottom w:w="0" w:type="dxa"/>
            <w:right w:w="0" w:type="dxa"/>
          </w:tblCellMar>
        </w:tblPrEx>
        <w:trPr>
          <w:trHeight w:val="90" w:hRule="atLeast"/>
        </w:trPr>
        <w:tc>
          <w:tcPr>
            <w:tcW w:w="15120"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CellMar>
            <w:top w:w="0" w:type="dxa"/>
            <w:left w:w="0" w:type="dxa"/>
            <w:bottom w:w="0" w:type="dxa"/>
            <w:right w:w="0" w:type="dxa"/>
          </w:tblCellMar>
        </w:tblPrEx>
        <w:trPr>
          <w:trHeight w:val="90" w:hRule="atLeast"/>
        </w:trPr>
        <w:tc>
          <w:tcPr>
            <w:tcW w:w="587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秀山土家族苗族自治县石耶镇中心卫生院</w:t>
            </w:r>
          </w:p>
        </w:tc>
        <w:tc>
          <w:tcPr>
            <w:tcW w:w="13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8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9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CellMar>
            <w:top w:w="0" w:type="dxa"/>
            <w:left w:w="0" w:type="dxa"/>
            <w:bottom w:w="0" w:type="dxa"/>
            <w:right w:w="0" w:type="dxa"/>
          </w:tblCellMar>
        </w:tblPrEx>
        <w:trPr>
          <w:trHeight w:val="90" w:hRule="atLeast"/>
        </w:trPr>
        <w:tc>
          <w:tcPr>
            <w:tcW w:w="587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3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8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5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97"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90" w:hRule="atLeast"/>
        </w:trPr>
        <w:tc>
          <w:tcPr>
            <w:tcW w:w="4896"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bCs w:val="0"/>
                <w:color w:val="000000"/>
                <w:sz w:val="20"/>
                <w:szCs w:val="20"/>
              </w:rPr>
            </w:pPr>
            <w:r>
              <w:rPr>
                <w:rFonts w:cs="宋体"/>
                <w:b/>
                <w:bCs w:val="0"/>
                <w:color w:val="000000"/>
                <w:sz w:val="20"/>
                <w:szCs w:val="20"/>
              </w:rPr>
              <w:t>项目</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本年收入合计</w:t>
            </w:r>
          </w:p>
        </w:tc>
        <w:tc>
          <w:tcPr>
            <w:tcW w:w="13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财政拨款收入</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上级补助收入</w:t>
            </w:r>
          </w:p>
        </w:tc>
        <w:tc>
          <w:tcPr>
            <w:tcW w:w="251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bCs w:val="0"/>
                <w:color w:val="000000"/>
                <w:sz w:val="20"/>
                <w:szCs w:val="20"/>
              </w:rPr>
            </w:pPr>
            <w:r>
              <w:rPr>
                <w:rFonts w:cs="宋体"/>
                <w:b/>
                <w:bCs w:val="0"/>
                <w:color w:val="000000"/>
                <w:sz w:val="20"/>
                <w:szCs w:val="20"/>
              </w:rPr>
              <w:t>事业收入</w:t>
            </w:r>
          </w:p>
        </w:tc>
        <w:tc>
          <w:tcPr>
            <w:tcW w:w="12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经营收入</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附属单位上缴收入</w:t>
            </w:r>
          </w:p>
        </w:tc>
        <w:tc>
          <w:tcPr>
            <w:tcW w:w="159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其他收入</w:t>
            </w:r>
          </w:p>
        </w:tc>
      </w:tr>
      <w:tr>
        <w:tblPrEx>
          <w:tblCellMar>
            <w:top w:w="0" w:type="dxa"/>
            <w:left w:w="0" w:type="dxa"/>
            <w:bottom w:w="0" w:type="dxa"/>
            <w:right w:w="0" w:type="dxa"/>
          </w:tblCellMar>
        </w:tblPrEx>
        <w:trPr>
          <w:trHeight w:val="312" w:hRule="atLeast"/>
        </w:trPr>
        <w:tc>
          <w:tcPr>
            <w:tcW w:w="159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功能分类科目编码</w:t>
            </w:r>
          </w:p>
        </w:tc>
        <w:tc>
          <w:tcPr>
            <w:tcW w:w="330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项目（按“项”级功能分类科目）</w:t>
            </w: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bCs w:val="0"/>
                <w:color w:val="000000"/>
                <w:sz w:val="20"/>
                <w:szCs w:val="20"/>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bCs w:val="0"/>
                <w:color w:val="000000"/>
                <w:sz w:val="20"/>
                <w:szCs w:val="20"/>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bCs w:val="0"/>
                <w:color w:val="000000"/>
                <w:sz w:val="20"/>
                <w:szCs w:val="20"/>
              </w:rPr>
            </w:pP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小计</w:t>
            </w:r>
          </w:p>
        </w:tc>
        <w:tc>
          <w:tcPr>
            <w:tcW w:w="128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其中：教育收费</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312" w:hRule="atLeast"/>
        </w:trPr>
        <w:tc>
          <w:tcPr>
            <w:tcW w:w="15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330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312" w:hRule="atLeast"/>
        </w:trPr>
        <w:tc>
          <w:tcPr>
            <w:tcW w:w="15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330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312" w:hRule="atLeast"/>
        </w:trPr>
        <w:tc>
          <w:tcPr>
            <w:tcW w:w="159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330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3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8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90" w:hRule="atLeast"/>
        </w:trPr>
        <w:tc>
          <w:tcPr>
            <w:tcW w:w="48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合计</w:t>
            </w:r>
          </w:p>
        </w:tc>
        <w:tc>
          <w:tcPr>
            <w:tcW w:w="9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972.42</w:t>
            </w:r>
            <w:r>
              <w:rPr>
                <w:rFonts w:ascii="Times New Roman" w:hAnsi="Times New Roman"/>
                <w:b/>
                <w:bCs w:val="0"/>
                <w:color w:val="000000"/>
                <w:sz w:val="20"/>
                <w:u w:color="auto"/>
              </w:rPr>
              <w:t xml:space="preserve"> </w:t>
            </w:r>
          </w:p>
        </w:tc>
        <w:tc>
          <w:tcPr>
            <w:tcW w:w="13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459.12</w:t>
            </w:r>
            <w:r>
              <w:rPr>
                <w:rFonts w:ascii="Times New Roman" w:hAnsi="Times New Roman"/>
                <w:b/>
                <w:bCs w:val="0"/>
                <w:color w:val="000000"/>
                <w:sz w:val="20"/>
                <w:u w:color="auto"/>
              </w:rPr>
              <w:t xml:space="preserve"> </w:t>
            </w:r>
          </w:p>
        </w:tc>
        <w:tc>
          <w:tcPr>
            <w:tcW w:w="12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507.46</w:t>
            </w:r>
            <w:r>
              <w:rPr>
                <w:rFonts w:ascii="Times New Roman" w:hAnsi="Times New Roman"/>
                <w:b/>
                <w:bCs w:val="0"/>
                <w:color w:val="000000"/>
                <w:sz w:val="20"/>
                <w:u w:color="auto"/>
              </w:rPr>
              <w:t xml:space="preserve"> </w:t>
            </w:r>
          </w:p>
        </w:tc>
        <w:tc>
          <w:tcPr>
            <w:tcW w:w="128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5.85</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208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社会保障和就业支出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20805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行政事业单位养老支出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277"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事业单位离退休</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15.65</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15.65</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345"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机关事业单位基本养老保险缴费支出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33.85</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33.85</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机关事业单位职业年金缴费支出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17.15</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17.15</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卫生健康支出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888.64</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375.33</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507.46</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5.85</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325"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21003</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基层医疗卫生机构</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800.38</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287.07</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507.46</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5.85</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261"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2100302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乡镇卫生院</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797.50</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284.19</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507.46</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5.85</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2100399</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其他基层医疗卫生机构支出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325"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21004</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公共卫生</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69.90</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69.90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293"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2100408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基本公共卫生服务</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69.34</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69.34</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2100410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突发公共卫生事件应急处置</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0.56</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0.56</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277"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21011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行政事业单位医疗</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18.36</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18.36</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261"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2101102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事业单位医疗</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14.18</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14.18</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2101199</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其他行政事业单位医疗支出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4.18</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4.18</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221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住房保障支出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90"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22102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住房改革支出</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287" w:hRule="atLeast"/>
        </w:trPr>
        <w:tc>
          <w:tcPr>
            <w:tcW w:w="159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2210201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住房公积金</w:t>
            </w:r>
          </w:p>
        </w:tc>
        <w:tc>
          <w:tcPr>
            <w:tcW w:w="9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17.13</w:t>
            </w:r>
            <w:r>
              <w:rPr>
                <w:rFonts w:ascii="Times New Roman" w:hAnsi="Times New Roman"/>
                <w:b w:val="0"/>
                <w:bCs/>
                <w:color w:val="000000"/>
                <w:sz w:val="20"/>
                <w:u w:color="auto"/>
              </w:rPr>
              <w:t xml:space="preserve"> </w:t>
            </w:r>
          </w:p>
        </w:tc>
        <w:tc>
          <w:tcPr>
            <w:tcW w:w="13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17.13</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2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bl>
    <w:p>
      <w:pPr>
        <w:keepNext w:val="0"/>
        <w:keepLines w:val="0"/>
        <w:pageBreakBefore w:val="0"/>
        <w:widowControl/>
        <w:kinsoku/>
        <w:wordWrap/>
        <w:overflowPunct/>
        <w:topLinePunct w:val="0"/>
        <w:autoSpaceDE/>
        <w:autoSpaceDN/>
        <w:bidi w:val="0"/>
        <w:adjustRightInd/>
        <w:snapToGrid/>
        <w:ind w:left="0" w:firstLine="0" w:firstLineChars="0"/>
        <w:jc w:val="left"/>
        <w:textAlignment w:val="auto"/>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p>
    <w:tbl>
      <w:tblPr>
        <w:tblStyle w:val="10"/>
        <w:tblpPr w:leftFromText="180" w:rightFromText="180" w:vertAnchor="text" w:horzAnchor="page" w:tblpX="1005" w:tblpY="-1419"/>
        <w:tblOverlap w:val="never"/>
        <w:tblW w:w="14920" w:type="dxa"/>
        <w:tblInd w:w="0" w:type="dxa"/>
        <w:tblLayout w:type="fixed"/>
        <w:tblCellMar>
          <w:top w:w="0" w:type="dxa"/>
          <w:left w:w="0" w:type="dxa"/>
          <w:bottom w:w="0" w:type="dxa"/>
          <w:right w:w="0" w:type="dxa"/>
        </w:tblCellMar>
      </w:tblPr>
      <w:tblGrid>
        <w:gridCol w:w="1593"/>
        <w:gridCol w:w="3437"/>
        <w:gridCol w:w="1601"/>
        <w:gridCol w:w="1648"/>
        <w:gridCol w:w="1583"/>
        <w:gridCol w:w="1516"/>
        <w:gridCol w:w="1648"/>
        <w:gridCol w:w="1894"/>
      </w:tblGrid>
      <w:tr>
        <w:tblPrEx>
          <w:tblCellMar>
            <w:top w:w="0" w:type="dxa"/>
            <w:left w:w="0" w:type="dxa"/>
            <w:bottom w:w="0" w:type="dxa"/>
            <w:right w:w="0" w:type="dxa"/>
          </w:tblCellMar>
        </w:tblPrEx>
        <w:trPr>
          <w:trHeight w:val="232" w:hRule="atLeast"/>
        </w:trPr>
        <w:tc>
          <w:tcPr>
            <w:tcW w:w="14920"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CellMar>
            <w:top w:w="0" w:type="dxa"/>
            <w:left w:w="0" w:type="dxa"/>
            <w:bottom w:w="0" w:type="dxa"/>
            <w:right w:w="0" w:type="dxa"/>
          </w:tblCellMar>
        </w:tblPrEx>
        <w:trPr>
          <w:trHeight w:val="119" w:hRule="atLeast"/>
        </w:trPr>
        <w:tc>
          <w:tcPr>
            <w:tcW w:w="663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秀山土家族苗族自治县石耶镇中心卫生院 </w:t>
            </w:r>
          </w:p>
        </w:tc>
        <w:tc>
          <w:tcPr>
            <w:tcW w:w="164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9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CellMar>
            <w:top w:w="0" w:type="dxa"/>
            <w:left w:w="0" w:type="dxa"/>
            <w:bottom w:w="0" w:type="dxa"/>
            <w:right w:w="0" w:type="dxa"/>
          </w:tblCellMar>
        </w:tblPrEx>
        <w:trPr>
          <w:trHeight w:val="119" w:hRule="atLeast"/>
        </w:trPr>
        <w:tc>
          <w:tcPr>
            <w:tcW w:w="663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9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122" w:hRule="atLeast"/>
        </w:trPr>
        <w:tc>
          <w:tcPr>
            <w:tcW w:w="5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bCs w:val="0"/>
                <w:color w:val="000000"/>
                <w:sz w:val="20"/>
                <w:szCs w:val="20"/>
              </w:rPr>
            </w:pPr>
            <w:r>
              <w:rPr>
                <w:rFonts w:cs="宋体"/>
                <w:b/>
                <w:bCs w:val="0"/>
                <w:color w:val="000000"/>
                <w:sz w:val="20"/>
                <w:szCs w:val="20"/>
              </w:rPr>
              <w:t>项目</w:t>
            </w:r>
          </w:p>
        </w:tc>
        <w:tc>
          <w:tcPr>
            <w:tcW w:w="16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本年支出合计</w:t>
            </w:r>
          </w:p>
        </w:tc>
        <w:tc>
          <w:tcPr>
            <w:tcW w:w="16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基本支出</w:t>
            </w:r>
          </w:p>
        </w:tc>
        <w:tc>
          <w:tcPr>
            <w:tcW w:w="15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项目支出</w:t>
            </w:r>
          </w:p>
        </w:tc>
        <w:tc>
          <w:tcPr>
            <w:tcW w:w="15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上缴上级支出</w:t>
            </w:r>
          </w:p>
        </w:tc>
        <w:tc>
          <w:tcPr>
            <w:tcW w:w="16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经营支出</w:t>
            </w:r>
          </w:p>
        </w:tc>
        <w:tc>
          <w:tcPr>
            <w:tcW w:w="18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对附属单位补助支出</w:t>
            </w:r>
          </w:p>
        </w:tc>
      </w:tr>
      <w:tr>
        <w:tblPrEx>
          <w:tblCellMar>
            <w:top w:w="0" w:type="dxa"/>
            <w:left w:w="0" w:type="dxa"/>
            <w:bottom w:w="0" w:type="dxa"/>
            <w:right w:w="0" w:type="dxa"/>
          </w:tblCellMar>
        </w:tblPrEx>
        <w:trPr>
          <w:trHeight w:val="312" w:hRule="atLeast"/>
        </w:trPr>
        <w:tc>
          <w:tcPr>
            <w:tcW w:w="159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功能分类科目编码</w:t>
            </w:r>
          </w:p>
        </w:tc>
        <w:tc>
          <w:tcPr>
            <w:tcW w:w="3437"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项目（按“项”级功能分类科目）</w:t>
            </w:r>
          </w:p>
        </w:tc>
        <w:tc>
          <w:tcPr>
            <w:tcW w:w="1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8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312" w:hRule="atLeast"/>
        </w:trPr>
        <w:tc>
          <w:tcPr>
            <w:tcW w:w="15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3437"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8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312" w:hRule="atLeast"/>
        </w:trPr>
        <w:tc>
          <w:tcPr>
            <w:tcW w:w="15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3437"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8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312" w:hRule="atLeast"/>
        </w:trPr>
        <w:tc>
          <w:tcPr>
            <w:tcW w:w="159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3437"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5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c>
          <w:tcPr>
            <w:tcW w:w="18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val="0"/>
                <w:bCs/>
                <w:color w:val="000000"/>
                <w:sz w:val="20"/>
                <w:szCs w:val="20"/>
              </w:rPr>
            </w:pPr>
          </w:p>
        </w:tc>
      </w:tr>
      <w:tr>
        <w:tblPrEx>
          <w:tblCellMar>
            <w:top w:w="0" w:type="dxa"/>
            <w:left w:w="0" w:type="dxa"/>
            <w:bottom w:w="0" w:type="dxa"/>
            <w:right w:w="0" w:type="dxa"/>
          </w:tblCellMar>
        </w:tblPrEx>
        <w:trPr>
          <w:trHeight w:val="122" w:hRule="atLeast"/>
        </w:trPr>
        <w:tc>
          <w:tcPr>
            <w:tcW w:w="50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bCs w:val="0"/>
                <w:color w:val="000000"/>
                <w:sz w:val="20"/>
                <w:szCs w:val="20"/>
              </w:rPr>
            </w:pPr>
            <w:r>
              <w:rPr>
                <w:rFonts w:cs="宋体"/>
                <w:b/>
                <w:bCs w:val="0"/>
                <w:color w:val="000000"/>
                <w:sz w:val="20"/>
                <w:szCs w:val="20"/>
              </w:rPr>
              <w:t>合计</w:t>
            </w:r>
          </w:p>
        </w:tc>
        <w:tc>
          <w:tcPr>
            <w:tcW w:w="16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1,005.02</w:t>
            </w:r>
            <w:r>
              <w:rPr>
                <w:rFonts w:ascii="Times New Roman" w:hAnsi="Times New Roman"/>
                <w:b/>
                <w:bCs w:val="0"/>
                <w:color w:val="000000"/>
                <w:sz w:val="20"/>
                <w:u w:color="auto"/>
              </w:rPr>
              <w:t xml:space="preserve"> </w:t>
            </w:r>
          </w:p>
        </w:tc>
        <w:tc>
          <w:tcPr>
            <w:tcW w:w="16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998.70</w:t>
            </w:r>
            <w:r>
              <w:rPr>
                <w:rFonts w:ascii="Times New Roman" w:hAnsi="Times New Roman"/>
                <w:b/>
                <w:bCs w:val="0"/>
                <w:color w:val="000000"/>
                <w:sz w:val="20"/>
                <w:u w:color="auto"/>
              </w:rPr>
              <w:t xml:space="preserve"> </w:t>
            </w:r>
          </w:p>
        </w:tc>
        <w:tc>
          <w:tcPr>
            <w:tcW w:w="158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6.32</w:t>
            </w:r>
            <w:r>
              <w:rPr>
                <w:rFonts w:ascii="Times New Roman" w:hAnsi="Times New Roman"/>
                <w:b/>
                <w:bCs w:val="0"/>
                <w:color w:val="000000"/>
                <w:sz w:val="20"/>
                <w:u w:color="auto"/>
              </w:rPr>
              <w:t xml:space="preserve"> </w:t>
            </w:r>
          </w:p>
        </w:tc>
        <w:tc>
          <w:tcPr>
            <w:tcW w:w="15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208</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社会保障和就业支出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20805</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行政事业单位养老支出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66.65</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2080502</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事业单位离退休</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15.65</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15.65</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2080505</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机关事业单位基本养老保险缴费支出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33.85</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33.85</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2080506</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机关事业单位职业年金缴费支出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17.15</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17.15</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卫生健康支出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921.23</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914.91</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6.32</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21003</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基层医疗卫生机构</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832.98</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827.22</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5.76</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2100302</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乡镇卫生院</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830.10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827.22</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2100399</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其他基层医疗卫生机构支出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2.88</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21004</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公共卫生</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69.90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69.34</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0.56</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2100408</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基本公共卫生服务</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69.34</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69.34</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2100410</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突发公共卫生事件应急处置</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0.56</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0.56</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21011</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行政事业单位医疗</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18.36</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18.36</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2101102</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事业单位医疗</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14.18</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14.18</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2101199</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其他行政事业单位医疗支出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4.18</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4.18</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221</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住房保障支出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2"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22102</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住房改革支出</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17.13</w:t>
            </w:r>
            <w:r>
              <w:rPr>
                <w:rFonts w:ascii="Times New Roman" w:hAnsi="Times New Roman"/>
                <w:b/>
                <w:bCs w:val="0"/>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bCs w:val="0"/>
                <w:color w:val="000000"/>
                <w:sz w:val="20"/>
                <w:szCs w:val="20"/>
              </w:rPr>
            </w:pPr>
            <w:r>
              <w:rPr>
                <w:rFonts w:hint="default" w:ascii="Times New Roman" w:hAnsi="Times New Roman"/>
                <w:b/>
                <w:bCs w:val="0"/>
                <w:color w:val="000000"/>
                <w:sz w:val="20"/>
                <w:szCs w:val="20"/>
              </w:rPr>
              <w:t>0.00</w:t>
            </w:r>
            <w:r>
              <w:rPr>
                <w:rFonts w:ascii="Times New Roman" w:hAnsi="Times New Roman"/>
                <w:b/>
                <w:bCs w:val="0"/>
                <w:color w:val="000000"/>
                <w:sz w:val="20"/>
                <w:u w:color="auto"/>
              </w:rPr>
              <w:t xml:space="preserve"> </w:t>
            </w:r>
          </w:p>
        </w:tc>
      </w:tr>
      <w:tr>
        <w:tblPrEx>
          <w:tblCellMar>
            <w:top w:w="0" w:type="dxa"/>
            <w:left w:w="0" w:type="dxa"/>
            <w:bottom w:w="0" w:type="dxa"/>
            <w:right w:w="0" w:type="dxa"/>
          </w:tblCellMar>
        </w:tblPrEx>
        <w:trPr>
          <w:trHeight w:val="126" w:hRule="atLeast"/>
        </w:trPr>
        <w:tc>
          <w:tcPr>
            <w:tcW w:w="159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2210201</w:t>
            </w:r>
          </w:p>
        </w:tc>
        <w:tc>
          <w:tcPr>
            <w:tcW w:w="34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住房公积金</w:t>
            </w:r>
          </w:p>
        </w:tc>
        <w:tc>
          <w:tcPr>
            <w:tcW w:w="16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17.13</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17.13</w:t>
            </w:r>
            <w:r>
              <w:rPr>
                <w:rFonts w:ascii="Times New Roman" w:hAnsi="Times New Roman"/>
                <w:b w:val="0"/>
                <w:bCs/>
                <w:color w:val="000000"/>
                <w:sz w:val="20"/>
                <w:u w:color="auto"/>
              </w:rPr>
              <w:t xml:space="preserve"> </w:t>
            </w:r>
          </w:p>
        </w:tc>
        <w:tc>
          <w:tcPr>
            <w:tcW w:w="15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5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6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c>
          <w:tcPr>
            <w:tcW w:w="18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color w:val="000000"/>
                <w:sz w:val="20"/>
                <w:szCs w:val="20"/>
              </w:rPr>
            </w:pPr>
            <w:r>
              <w:rPr>
                <w:rFonts w:hint="default" w:ascii="Times New Roman" w:hAnsi="Times New Roman"/>
                <w:b w:val="0"/>
                <w:bCs/>
                <w:color w:val="000000"/>
                <w:sz w:val="20"/>
                <w:szCs w:val="20"/>
              </w:rPr>
              <w:t>0.00</w:t>
            </w:r>
            <w:r>
              <w:rPr>
                <w:rFonts w:ascii="Times New Roman" w:hAnsi="Times New Roman"/>
                <w:b w:val="0"/>
                <w:bCs/>
                <w:color w:val="000000"/>
                <w:sz w:val="20"/>
                <w:u w:color="auto"/>
              </w:rPr>
              <w:t xml:space="preserve"> </w:t>
            </w:r>
          </w:p>
        </w:tc>
      </w:tr>
    </w:tbl>
    <w:p>
      <w:pPr>
        <w:rPr>
          <w:rFonts w:hint="default" w:cs="宋体"/>
          <w:sz w:val="21"/>
          <w:szCs w:val="21"/>
        </w:rPr>
      </w:pPr>
    </w:p>
    <w:p>
      <w:pPr>
        <w:rPr>
          <w:rFonts w:hint="default" w:cs="宋体"/>
          <w:sz w:val="21"/>
          <w:szCs w:val="21"/>
        </w:rPr>
      </w:pPr>
    </w:p>
    <w:tbl>
      <w:tblPr>
        <w:tblStyle w:val="10"/>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秀山土家族苗族自治县石耶镇中心卫生院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eastAsia" w:asciiTheme="minorEastAsia" w:hAnsiTheme="minorEastAsia" w:eastAsiaTheme="minorEastAsia" w:cstheme="minorEastAsia"/>
                <w:b/>
                <w:bCs w:val="0"/>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eastAsia" w:asciiTheme="minorEastAsia" w:hAnsiTheme="minorEastAsia" w:eastAsiaTheme="minorEastAsia" w:cstheme="minorEastAsia"/>
                <w:b/>
                <w:bCs w:val="0"/>
                <w:color w:val="000000"/>
                <w:sz w:val="18"/>
                <w:szCs w:val="18"/>
              </w:rPr>
              <w:t>支     出</w:t>
            </w:r>
          </w:p>
        </w:tc>
      </w:tr>
      <w:tr>
        <w:tblPrEx>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决算数</w:t>
            </w:r>
          </w:p>
        </w:tc>
      </w:tr>
      <w:tr>
        <w:tblPrEx>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bCs w:val="0"/>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bCs w:val="0"/>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国有资本经营预算财政拨款</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459.12</w:t>
            </w: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66.65</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66.65</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407.93</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407.93</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17.13</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17.13</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459.12</w:t>
            </w: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491.71</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491.71</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32.60</w:t>
            </w: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32.60</w:t>
            </w: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20"/>
                <w:szCs w:val="20"/>
              </w:rPr>
            </w:pP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20"/>
                <w:szCs w:val="20"/>
              </w:rPr>
            </w:pPr>
          </w:p>
        </w:tc>
      </w:tr>
      <w:tr>
        <w:tblPrEx>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491.71</w:t>
            </w:r>
            <w:r>
              <w:rPr>
                <w:rFonts w:hint="default" w:ascii="Times New Roman" w:hAnsi="Times New Roman" w:cs="Times New Roman" w:eastAsiaTheme="minorEastAsia"/>
                <w:b w:val="0"/>
                <w:bCs/>
                <w:color w:val="000000"/>
                <w:sz w:val="20"/>
                <w:szCs w:val="20"/>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491.71</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491.71</w:t>
            </w:r>
            <w:r>
              <w:rPr>
                <w:rFonts w:hint="default" w:ascii="Times New Roman" w:hAnsi="Times New Roman" w:cs="Times New Roman" w:eastAsiaTheme="minorEastAsia"/>
                <w:b w:val="0"/>
                <w:bCs/>
                <w:color w:val="000000"/>
                <w:sz w:val="20"/>
                <w:szCs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0"/>
        <w:tblpPr w:leftFromText="180" w:rightFromText="180" w:vertAnchor="text" w:horzAnchor="page" w:tblpX="864" w:tblpY="-525"/>
        <w:tblOverlap w:val="never"/>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秀山土家族苗族自治县石耶镇中心卫生院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本年支出</w:t>
            </w:r>
          </w:p>
        </w:tc>
      </w:tr>
      <w:tr>
        <w:tblPrEx>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项目支出</w:t>
            </w:r>
          </w:p>
        </w:tc>
      </w:tr>
      <w:tr>
        <w:tblPrEx>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r>
      <w:tr>
        <w:tblPrEx>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eastAsiaTheme="minorEastAsia"/>
                <w:b/>
                <w:bCs w:val="0"/>
                <w:color w:val="000000"/>
                <w:sz w:val="20"/>
                <w:szCs w:val="20"/>
              </w:rPr>
            </w:pPr>
          </w:p>
        </w:tc>
      </w:tr>
      <w:tr>
        <w:tblPrEx>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491.71</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485.39</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6.32</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66.65</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66.65</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0.00</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66.65</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66.65</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0.00</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15.65</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15.65</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33.85</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33.85</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17.15</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17.15</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407.93</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401.61</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6.32</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319.67</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313.91</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5.76</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316.79</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313.91</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2.88</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2.88</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2.88</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69.90</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69.34</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0.56</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69.34</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69.34</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0.56</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0.56</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18.36</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18.36</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0.00</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14.18</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14.18</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4.18</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4.18</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17.13</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17.13</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0.00</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bCs w:val="0"/>
                <w:color w:val="000000"/>
                <w:sz w:val="20"/>
                <w:szCs w:val="20"/>
              </w:rPr>
            </w:pPr>
            <w:r>
              <w:rPr>
                <w:rFonts w:hint="eastAsia" w:asciiTheme="minorEastAsia" w:hAnsiTheme="minorEastAsia" w:eastAsiaTheme="minorEastAsia" w:cstheme="minorEastAsia"/>
                <w:b/>
                <w:bCs w:val="0"/>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17.13</w:t>
            </w:r>
            <w:r>
              <w:rPr>
                <w:rFonts w:hint="default" w:ascii="Times New Roman" w:hAnsi="Times New Roman" w:cs="Times New Roman" w:eastAsiaTheme="minorEastAsia"/>
                <w:b/>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17.13</w:t>
            </w:r>
            <w:r>
              <w:rPr>
                <w:rFonts w:hint="default" w:ascii="Times New Roman" w:hAnsi="Times New Roman" w:cs="Times New Roman" w:eastAsiaTheme="minorEastAsia"/>
                <w:b/>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bCs w:val="0"/>
                <w:color w:val="000000"/>
                <w:sz w:val="20"/>
                <w:szCs w:val="20"/>
              </w:rPr>
            </w:pPr>
            <w:r>
              <w:rPr>
                <w:rFonts w:hint="default" w:ascii="Times New Roman" w:hAnsi="Times New Roman" w:cs="Times New Roman" w:eastAsiaTheme="minorEastAsia"/>
                <w:b/>
                <w:bCs w:val="0"/>
                <w:color w:val="000000"/>
                <w:sz w:val="20"/>
                <w:szCs w:val="20"/>
              </w:rPr>
              <w:t>0.00</w:t>
            </w:r>
            <w:r>
              <w:rPr>
                <w:rFonts w:hint="default" w:ascii="Times New Roman" w:hAnsi="Times New Roman" w:cs="Times New Roman" w:eastAsiaTheme="minorEastAsia"/>
                <w:b/>
                <w:bCs w:val="0"/>
                <w:color w:val="000000"/>
                <w:sz w:val="20"/>
                <w:u w:color="auto"/>
              </w:rPr>
              <w:t xml:space="preserve"> </w:t>
            </w:r>
          </w:p>
        </w:tc>
      </w:tr>
      <w:tr>
        <w:tblPrEx>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eastAsia" w:asciiTheme="minorEastAsia" w:hAnsiTheme="minorEastAsia" w:eastAsiaTheme="minorEastAsia" w:cstheme="minorEastAsia"/>
                <w:b w:val="0"/>
                <w:bCs/>
                <w:color w:val="000000"/>
                <w:sz w:val="20"/>
                <w:szCs w:val="20"/>
              </w:rPr>
            </w:pPr>
            <w:r>
              <w:rPr>
                <w:rFonts w:hint="eastAsia" w:asciiTheme="minorEastAsia" w:hAnsiTheme="minorEastAsia" w:eastAsiaTheme="minorEastAsia" w:cstheme="minorEastAsia"/>
                <w:b w:val="0"/>
                <w:bCs/>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17.13</w:t>
            </w:r>
            <w:r>
              <w:rPr>
                <w:rFonts w:hint="default" w:ascii="Times New Roman" w:hAnsi="Times New Roman" w:cs="Times New Roman" w:eastAsiaTheme="minorEastAsia"/>
                <w:b w:val="0"/>
                <w:bCs/>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17.13</w:t>
            </w:r>
            <w:r>
              <w:rPr>
                <w:rFonts w:hint="default" w:ascii="Times New Roman" w:hAnsi="Times New Roman" w:cs="Times New Roman" w:eastAsiaTheme="minorEastAsia"/>
                <w:b w:val="0"/>
                <w:bCs/>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eastAsiaTheme="minorEastAsia"/>
                <w:b w:val="0"/>
                <w:bCs/>
                <w:color w:val="000000"/>
                <w:sz w:val="20"/>
                <w:szCs w:val="20"/>
              </w:rPr>
            </w:pPr>
            <w:r>
              <w:rPr>
                <w:rFonts w:hint="default" w:ascii="Times New Roman" w:hAnsi="Times New Roman" w:cs="Times New Roman" w:eastAsiaTheme="minorEastAsia"/>
                <w:b w:val="0"/>
                <w:bCs/>
                <w:color w:val="000000"/>
                <w:sz w:val="20"/>
                <w:szCs w:val="20"/>
              </w:rPr>
              <w:t>0.00</w:t>
            </w:r>
            <w:r>
              <w:rPr>
                <w:rFonts w:hint="default" w:ascii="Times New Roman" w:hAnsi="Times New Roman" w:cs="Times New Roman" w:eastAsiaTheme="minorEastAsia"/>
                <w:b w:val="0"/>
                <w:bCs/>
                <w:color w:val="000000"/>
                <w:sz w:val="20"/>
                <w:u w:color="auto"/>
              </w:rPr>
              <w:t xml:space="preserve"> </w:t>
            </w:r>
          </w:p>
        </w:tc>
      </w:tr>
    </w:tbl>
    <w:p>
      <w:pPr>
        <w:rPr>
          <w:rFonts w:hint="default" w:eastAsia="宋体" w:cs="宋体"/>
          <w:sz w:val="21"/>
          <w:szCs w:val="21"/>
          <w:lang w:val="en-US" w:eastAsia="zh-CN"/>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hint="eastAsia" w:cs="宋体"/>
          <w:sz w:val="20"/>
          <w:szCs w:val="20"/>
          <w:lang w:val="en-US" w:eastAsia="zh-CN"/>
        </w:rPr>
        <w:t xml:space="preserve">   </w:t>
      </w:r>
    </w:p>
    <w:tbl>
      <w:tblPr>
        <w:tblStyle w:val="10"/>
        <w:tblpPr w:leftFromText="180" w:rightFromText="180" w:vertAnchor="text" w:horzAnchor="page" w:tblpX="1260" w:tblpY="-569"/>
        <w:tblOverlap w:val="never"/>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秀山土家族苗族自治县石耶镇中心卫生院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公用经费</w:t>
            </w:r>
          </w:p>
        </w:tc>
      </w:tr>
      <w:tr>
        <w:tblPrEx>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bCs w:val="0"/>
                <w:color w:val="000000"/>
                <w:sz w:val="18"/>
                <w:szCs w:val="18"/>
              </w:rPr>
            </w:pPr>
            <w:r>
              <w:rPr>
                <w:rFonts w:hint="default" w:ascii="Times New Roman" w:hAnsi="Times New Roman" w:cs="Times New Roman" w:eastAsiaTheme="minorEastAsia"/>
                <w:b/>
                <w:bCs w:val="0"/>
                <w:color w:val="000000"/>
                <w:sz w:val="18"/>
                <w:szCs w:val="18"/>
              </w:rPr>
              <w:t>金额</w:t>
            </w:r>
          </w:p>
        </w:tc>
      </w:tr>
      <w:tr>
        <w:tblPrEx>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Times New Roman" w:eastAsiaTheme="minorEastAsia"/>
                <w:b w:val="0"/>
                <w:bCs/>
                <w:color w:val="000000"/>
                <w:sz w:val="18"/>
                <w:szCs w:val="18"/>
              </w:rPr>
            </w:pP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467.56</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107.14</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40.02</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233.59</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33.85</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17.15</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14.18</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17.13</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4.49</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17.83</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15.99</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1.85</w:t>
            </w: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bCs w:val="0"/>
                <w:color w:val="000000"/>
                <w:sz w:val="18"/>
                <w:szCs w:val="18"/>
              </w:rPr>
            </w:pPr>
            <w:r>
              <w:rPr>
                <w:rFonts w:hint="eastAsia" w:asciiTheme="minorEastAsia" w:hAnsiTheme="minorEastAsia" w:eastAsiaTheme="minorEastAsia" w:cstheme="minorEastAsia"/>
                <w:b/>
                <w:bCs w:val="0"/>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val="0"/>
                <w:bCs/>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val="0"/>
                <w:bCs/>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18"/>
                <w:szCs w:val="18"/>
              </w:rPr>
            </w:pPr>
          </w:p>
        </w:tc>
      </w:tr>
      <w:tr>
        <w:tblPrEx>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val="0"/>
                <w:bCs/>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val="0"/>
                <w:bCs/>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18"/>
                <w:szCs w:val="18"/>
              </w:rPr>
            </w:pPr>
          </w:p>
        </w:tc>
      </w:tr>
      <w:tr>
        <w:tblPrEx>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eastAsia" w:asciiTheme="minorEastAsia" w:hAnsiTheme="minorEastAsia" w:eastAsiaTheme="minorEastAsia" w:cstheme="minorEastAsia"/>
                <w:b w:val="0"/>
                <w:bCs/>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Times New Roman" w:eastAsiaTheme="minorEastAsia"/>
                <w:b w:val="0"/>
                <w:bCs/>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val="0"/>
                <w:bCs/>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val="0"/>
                <w:bCs/>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Times New Roman" w:eastAsiaTheme="minorEastAsia"/>
                <w:b w:val="0"/>
                <w:bCs/>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s="Times New Roman" w:eastAsiaTheme="minorEastAsia"/>
                <w:b w:val="0"/>
                <w:bCs/>
                <w:color w:val="000000"/>
                <w:sz w:val="18"/>
                <w:szCs w:val="18"/>
              </w:rPr>
            </w:pPr>
          </w:p>
        </w:tc>
      </w:tr>
      <w:tr>
        <w:tblPrEx>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eastAsia" w:asciiTheme="minorEastAsia" w:hAnsiTheme="minorEastAsia" w:eastAsiaTheme="minorEastAsia" w:cstheme="minorEastAsia"/>
                <w:b w:val="0"/>
                <w:bCs/>
                <w:color w:val="000000"/>
                <w:sz w:val="18"/>
                <w:szCs w:val="18"/>
              </w:rPr>
            </w:pPr>
            <w:r>
              <w:rPr>
                <w:rFonts w:hint="eastAsia" w:asciiTheme="minorEastAsia" w:hAnsiTheme="minorEastAsia" w:eastAsiaTheme="minorEastAsia" w:cstheme="minorEastAsia"/>
                <w:b/>
                <w:bCs w:val="0"/>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485.39</w:t>
            </w:r>
            <w:r>
              <w:rPr>
                <w:rFonts w:hint="default" w:ascii="Times New Roman" w:hAnsi="Times New Roman" w:cs="Times New Roman" w:eastAsiaTheme="minorEastAsia"/>
                <w:b w:val="0"/>
                <w:bCs/>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Times New Roman" w:eastAsiaTheme="minorEastAsia"/>
                <w:b w:val="0"/>
                <w:bCs/>
                <w:color w:val="000000"/>
                <w:sz w:val="18"/>
                <w:szCs w:val="18"/>
              </w:rPr>
            </w:pPr>
            <w:r>
              <w:rPr>
                <w:rFonts w:hint="eastAsia" w:asciiTheme="minorEastAsia" w:hAnsiTheme="minorEastAsia" w:eastAsiaTheme="minorEastAsia" w:cstheme="minorEastAsia"/>
                <w:b/>
                <w:bCs w:val="0"/>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u w:color="auto"/>
              </w:rPr>
              <w:t xml:space="preserve"> </w:t>
            </w:r>
          </w:p>
        </w:tc>
      </w:tr>
    </w:tbl>
    <w:p>
      <w:pPr>
        <w:spacing w:line="280" w:lineRule="exact"/>
        <w:rPr>
          <w:rFonts w:hint="default" w:cs="宋体"/>
          <w:sz w:val="20"/>
          <w:szCs w:val="20"/>
        </w:rPr>
      </w:pPr>
      <w:r>
        <w:rPr>
          <w:rFonts w:cs="宋体"/>
          <w:sz w:val="20"/>
          <w:szCs w:val="20"/>
        </w:rPr>
        <w:br w:type="textWrapping"/>
      </w: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1"/>
          <w:szCs w:val="21"/>
        </w:rPr>
        <w:br w:type="page"/>
      </w:r>
    </w:p>
    <w:tbl>
      <w:tblPr>
        <w:tblStyle w:val="10"/>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秀山土家族苗族自治县石耶镇中心卫生院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年末结转和结余</w:t>
            </w:r>
          </w:p>
        </w:tc>
      </w:tr>
      <w:tr>
        <w:tblPrEx>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r>
      <w:tr>
        <w:tblPrEx>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r>
      <w:tr>
        <w:tblPrEx>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r>
      <w:tr>
        <w:tblPrEx>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b w:val="0"/>
                <w:bCs/>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Times New Roman"/>
                <w:b w:val="0"/>
                <w:bCs/>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0.00</w:t>
            </w:r>
            <w:r>
              <w:rPr>
                <w:rFonts w:hint="default" w:ascii="Times New Roman" w:hAnsi="Times New Roman" w:cs="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0.00</w:t>
            </w:r>
            <w:r>
              <w:rPr>
                <w:rFonts w:hint="default" w:ascii="Times New Roman" w:hAnsi="Times New Roman" w:cs="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0.00</w:t>
            </w:r>
            <w:r>
              <w:rPr>
                <w:rFonts w:hint="default" w:ascii="Times New Roman" w:hAnsi="Times New Roman" w:cs="Times New Roman"/>
                <w:b w:val="0"/>
                <w:bCs/>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0.00</w:t>
            </w:r>
            <w:r>
              <w:rPr>
                <w:rFonts w:hint="default" w:ascii="Times New Roman" w:hAnsi="Times New Roman" w:cs="Times New Roman"/>
                <w:b w:val="0"/>
                <w:bCs/>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0.00</w:t>
            </w:r>
            <w:r>
              <w:rPr>
                <w:rFonts w:hint="default" w:ascii="Times New Roman" w:hAnsi="Times New Roman" w:cs="Times New Roman"/>
                <w:b w:val="0"/>
                <w:bCs/>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0.00</w:t>
            </w:r>
            <w:r>
              <w:rPr>
                <w:rFonts w:hint="default" w:ascii="Times New Roman" w:hAnsi="Times New Roman" w:cs="Times New Roman"/>
                <w:b w:val="0"/>
                <w:bCs/>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0"/>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秀山土家族苗族自治县石耶镇中心卫生院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本年支出</w:t>
            </w:r>
          </w:p>
        </w:tc>
      </w:tr>
      <w:tr>
        <w:tblPrEx>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项目支出</w:t>
            </w:r>
          </w:p>
        </w:tc>
      </w:tr>
      <w:tr>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r>
      <w:tr>
        <w:tblPrEx>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r>
      <w:tr>
        <w:tblPrEx>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Times New Roman"/>
                <w:b/>
                <w:bCs w:val="0"/>
                <w:color w:val="000000"/>
                <w:sz w:val="20"/>
                <w:szCs w:val="20"/>
              </w:rPr>
            </w:pPr>
          </w:p>
        </w:tc>
      </w:tr>
      <w:tr>
        <w:tblPrEx>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bCs w:val="0"/>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bCs w:val="0"/>
                <w:color w:val="000000"/>
                <w:sz w:val="20"/>
                <w:szCs w:val="20"/>
              </w:rPr>
            </w:pPr>
            <w:r>
              <w:rPr>
                <w:rFonts w:hint="default" w:ascii="Times New Roman" w:hAnsi="Times New Roman" w:cs="Times New Roman"/>
                <w:b/>
                <w:bCs w:val="0"/>
                <w:color w:val="000000"/>
                <w:sz w:val="20"/>
                <w:szCs w:val="20"/>
              </w:rPr>
              <w:t>0.00</w:t>
            </w:r>
            <w:r>
              <w:rPr>
                <w:rFonts w:hint="default" w:ascii="Times New Roman" w:hAnsi="Times New Roman" w:cs="Times New Roman"/>
                <w:b/>
                <w:bCs w:val="0"/>
                <w:color w:val="000000"/>
                <w:sz w:val="20"/>
                <w:u w:color="auto"/>
              </w:rPr>
              <w:t xml:space="preserve"> </w:t>
            </w:r>
          </w:p>
        </w:tc>
      </w:tr>
      <w:tr>
        <w:tblPrEx>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Times New Roman"/>
                <w:b w:val="0"/>
                <w:bCs/>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cs="Times New Roman"/>
                <w:b w:val="0"/>
                <w:bCs/>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s="Times New Roman"/>
                <w:b w:val="0"/>
                <w:bCs/>
                <w:color w:val="000000"/>
                <w:sz w:val="20"/>
                <w:szCs w:val="20"/>
              </w:rPr>
            </w:pPr>
            <w:r>
              <w:rPr>
                <w:rFonts w:hint="default" w:ascii="Times New Roman" w:hAnsi="Times New Roman" w:cs="Times New Roman"/>
                <w:b w:val="0"/>
                <w:bCs/>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0"/>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秀山土家族苗族自治县石耶镇中心卫生院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决算数</w:t>
            </w:r>
          </w:p>
        </w:tc>
      </w:tr>
      <w:tr>
        <w:tblPrEx>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2</w:t>
            </w: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2</w:t>
            </w: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1.01</w:t>
            </w: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1.01</w:t>
            </w: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r>
      <w:tr>
        <w:tblPrEx>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eastAsia" w:asciiTheme="minorEastAsia" w:hAnsiTheme="minorEastAsia" w:eastAsiaTheme="minorEastAsia" w:cstheme="minorEastAsia"/>
                <w:b/>
                <w:bCs w:val="0"/>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eastAsiaTheme="minorEastAsia"/>
                <w:b w:val="0"/>
                <w:bCs/>
                <w:color w:val="000000"/>
                <w:kern w:val="2"/>
                <w:sz w:val="18"/>
                <w:szCs w:val="18"/>
              </w:rPr>
            </w:pPr>
          </w:p>
        </w:tc>
      </w:tr>
      <w:tr>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kern w:val="2"/>
                <w:sz w:val="16"/>
                <w:szCs w:val="16"/>
              </w:rPr>
            </w:pPr>
            <w:r>
              <w:rPr>
                <w:rFonts w:hint="eastAsia" w:asciiTheme="minorEastAsia" w:hAnsiTheme="minorEastAsia" w:eastAsiaTheme="minorEastAsia" w:cstheme="minorEastAsia"/>
                <w:b/>
                <w:bCs w:val="0"/>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kern w:val="2"/>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eastAsiaTheme="minorEastAsia"/>
                <w:b w:val="0"/>
                <w:bCs/>
                <w:color w:val="000000"/>
                <w:kern w:val="2"/>
                <w:sz w:val="20"/>
                <w:szCs w:val="20"/>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eastAsiaTheme="minorEastAsia"/>
                <w:b w:val="0"/>
                <w:bCs/>
                <w:color w:val="000000"/>
                <w:kern w:val="2"/>
                <w:sz w:val="18"/>
                <w:szCs w:val="18"/>
              </w:rPr>
            </w:pPr>
          </w:p>
        </w:tc>
      </w:tr>
      <w:tr>
        <w:tblPrEx>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eastAsia" w:asciiTheme="minorEastAsia" w:hAnsiTheme="minorEastAsia" w:eastAsiaTheme="minorEastAsia" w:cstheme="minorEastAsia"/>
                <w:b/>
                <w:bCs w:val="0"/>
                <w:color w:val="000000"/>
                <w:sz w:val="16"/>
                <w:szCs w:val="16"/>
              </w:rPr>
            </w:pPr>
            <w:r>
              <w:rPr>
                <w:rFonts w:hint="eastAsia" w:asciiTheme="minorEastAsia" w:hAnsiTheme="minorEastAsia" w:eastAsiaTheme="minorEastAsia" w:cstheme="minorEastAsia"/>
                <w:b/>
                <w:bCs w:val="0"/>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s="Times New Roman" w:eastAsiaTheme="minorEastAsia"/>
                <w:b w:val="0"/>
                <w:bCs/>
                <w:color w:val="000000"/>
                <w:sz w:val="18"/>
                <w:szCs w:val="18"/>
              </w:rPr>
            </w:pPr>
            <w:r>
              <w:rPr>
                <w:rFonts w:hint="default" w:ascii="Times New Roman" w:hAnsi="Times New Roman" w:cs="Times New Roman" w:eastAsiaTheme="minorEastAsia"/>
                <w:b w:val="0"/>
                <w:bCs/>
                <w:color w:val="000000"/>
                <w:sz w:val="18"/>
                <w:szCs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Times New Roman" w:eastAsiaTheme="minorEastAsia"/>
                <w:b w:val="0"/>
                <w:bCs/>
                <w:color w:val="000000"/>
                <w:sz w:val="20"/>
                <w:szCs w:val="20"/>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Times New Roman" w:eastAsiaTheme="minorEastAsia"/>
                <w:b w:val="0"/>
                <w:bCs/>
                <w:color w:val="000000"/>
                <w:sz w:val="18"/>
                <w:szCs w:val="18"/>
              </w:rPr>
            </w:pPr>
          </w:p>
        </w:tc>
      </w:tr>
    </w:tbl>
    <w:p>
      <w:pPr>
        <w:rPr>
          <w:rFonts w:cs="宋体"/>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w:t>
      </w:r>
    </w:p>
    <w:p>
      <w:pPr>
        <w:rPr>
          <w:rFonts w:hint="default"/>
          <w:lang w:val="en-US" w:eastAsia="zh-CN"/>
        </w:rPr>
      </w:pPr>
      <w:r>
        <w:rPr>
          <w:rFonts w:cs="宋体"/>
          <w:sz w:val="18"/>
          <w:szCs w:val="18"/>
        </w:rPr>
        <w:t>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BMUE45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0A13BD"/>
    <w:rsid w:val="044C50BA"/>
    <w:rsid w:val="05BC6D49"/>
    <w:rsid w:val="060544E6"/>
    <w:rsid w:val="06194FF1"/>
    <w:rsid w:val="06230D98"/>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7F507F"/>
    <w:rsid w:val="0B9335CE"/>
    <w:rsid w:val="0BC10B83"/>
    <w:rsid w:val="0BF2311A"/>
    <w:rsid w:val="0C7927C4"/>
    <w:rsid w:val="0C9B098C"/>
    <w:rsid w:val="0D673E11"/>
    <w:rsid w:val="0DCA7E77"/>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086479"/>
    <w:rsid w:val="138071DC"/>
    <w:rsid w:val="13871C70"/>
    <w:rsid w:val="13A71CB4"/>
    <w:rsid w:val="13AF1D43"/>
    <w:rsid w:val="13CE1647"/>
    <w:rsid w:val="13FD55AB"/>
    <w:rsid w:val="14200702"/>
    <w:rsid w:val="14370EA1"/>
    <w:rsid w:val="145D6F41"/>
    <w:rsid w:val="15EB415E"/>
    <w:rsid w:val="163A6CEE"/>
    <w:rsid w:val="164D50DA"/>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856E72"/>
    <w:rsid w:val="1DA52501"/>
    <w:rsid w:val="1DBD6767"/>
    <w:rsid w:val="1DC52125"/>
    <w:rsid w:val="1DD26311"/>
    <w:rsid w:val="1E374ACB"/>
    <w:rsid w:val="1ECF0A66"/>
    <w:rsid w:val="1EF67CA4"/>
    <w:rsid w:val="1F020D3A"/>
    <w:rsid w:val="1F2C5189"/>
    <w:rsid w:val="1F4B0B02"/>
    <w:rsid w:val="1FBB35CD"/>
    <w:rsid w:val="1FCD26AF"/>
    <w:rsid w:val="202C5FE0"/>
    <w:rsid w:val="20642787"/>
    <w:rsid w:val="21556F04"/>
    <w:rsid w:val="22403BD3"/>
    <w:rsid w:val="235417B6"/>
    <w:rsid w:val="24B75986"/>
    <w:rsid w:val="24B92327"/>
    <w:rsid w:val="24C14514"/>
    <w:rsid w:val="2533755C"/>
    <w:rsid w:val="25791755"/>
    <w:rsid w:val="25E57236"/>
    <w:rsid w:val="260B672B"/>
    <w:rsid w:val="26396DF4"/>
    <w:rsid w:val="27167136"/>
    <w:rsid w:val="271B442C"/>
    <w:rsid w:val="272318B5"/>
    <w:rsid w:val="27B23302"/>
    <w:rsid w:val="28F50410"/>
    <w:rsid w:val="28F5723A"/>
    <w:rsid w:val="29310A5F"/>
    <w:rsid w:val="29C37A35"/>
    <w:rsid w:val="2A076083"/>
    <w:rsid w:val="2A73162E"/>
    <w:rsid w:val="2B167953"/>
    <w:rsid w:val="2B200583"/>
    <w:rsid w:val="2B8209DE"/>
    <w:rsid w:val="2B821C91"/>
    <w:rsid w:val="2BF81A22"/>
    <w:rsid w:val="2C636760"/>
    <w:rsid w:val="2C6762A3"/>
    <w:rsid w:val="2DA46A4B"/>
    <w:rsid w:val="2DF41D09"/>
    <w:rsid w:val="2E4B30D9"/>
    <w:rsid w:val="2F3E4196"/>
    <w:rsid w:val="2FCA4B37"/>
    <w:rsid w:val="2FE029D7"/>
    <w:rsid w:val="2FF06E00"/>
    <w:rsid w:val="30586FEC"/>
    <w:rsid w:val="315F0B22"/>
    <w:rsid w:val="31D84415"/>
    <w:rsid w:val="32285F6F"/>
    <w:rsid w:val="324075D1"/>
    <w:rsid w:val="32770556"/>
    <w:rsid w:val="329C0913"/>
    <w:rsid w:val="32AA0460"/>
    <w:rsid w:val="3337290D"/>
    <w:rsid w:val="33E31118"/>
    <w:rsid w:val="33EF7674"/>
    <w:rsid w:val="342D7BC6"/>
    <w:rsid w:val="352930DB"/>
    <w:rsid w:val="35573069"/>
    <w:rsid w:val="355F6038"/>
    <w:rsid w:val="358C217E"/>
    <w:rsid w:val="35DD4309"/>
    <w:rsid w:val="36C9128A"/>
    <w:rsid w:val="37841E99"/>
    <w:rsid w:val="37BF1123"/>
    <w:rsid w:val="383C3F15"/>
    <w:rsid w:val="38BE4696"/>
    <w:rsid w:val="3939115E"/>
    <w:rsid w:val="397C6780"/>
    <w:rsid w:val="39AB7AFE"/>
    <w:rsid w:val="39B82A39"/>
    <w:rsid w:val="39C42CA8"/>
    <w:rsid w:val="39DC4FD6"/>
    <w:rsid w:val="39F03D7A"/>
    <w:rsid w:val="39F33306"/>
    <w:rsid w:val="3A2C1C67"/>
    <w:rsid w:val="3A2C6DA1"/>
    <w:rsid w:val="3A6A77C9"/>
    <w:rsid w:val="3ADD7F09"/>
    <w:rsid w:val="3B1705E5"/>
    <w:rsid w:val="3B18334B"/>
    <w:rsid w:val="3B36794F"/>
    <w:rsid w:val="3B6F6EE0"/>
    <w:rsid w:val="3BF21F27"/>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D5595C"/>
    <w:rsid w:val="41E0734B"/>
    <w:rsid w:val="4265590C"/>
    <w:rsid w:val="426C1EA8"/>
    <w:rsid w:val="42736402"/>
    <w:rsid w:val="42E86A87"/>
    <w:rsid w:val="43307B09"/>
    <w:rsid w:val="434512A0"/>
    <w:rsid w:val="436D44AF"/>
    <w:rsid w:val="439A3EB9"/>
    <w:rsid w:val="43A2191B"/>
    <w:rsid w:val="43BB152F"/>
    <w:rsid w:val="44C37687"/>
    <w:rsid w:val="44F772E5"/>
    <w:rsid w:val="45CB699A"/>
    <w:rsid w:val="46423C66"/>
    <w:rsid w:val="465B470D"/>
    <w:rsid w:val="469D6AD4"/>
    <w:rsid w:val="471E6C84"/>
    <w:rsid w:val="4748792B"/>
    <w:rsid w:val="475D719D"/>
    <w:rsid w:val="47674801"/>
    <w:rsid w:val="47DE473C"/>
    <w:rsid w:val="48225EF7"/>
    <w:rsid w:val="488F422B"/>
    <w:rsid w:val="48E36915"/>
    <w:rsid w:val="48EB6572"/>
    <w:rsid w:val="495C4A24"/>
    <w:rsid w:val="495C606A"/>
    <w:rsid w:val="497135DF"/>
    <w:rsid w:val="4A263DF2"/>
    <w:rsid w:val="4A2F278B"/>
    <w:rsid w:val="4A6F6675"/>
    <w:rsid w:val="4B135857"/>
    <w:rsid w:val="4B7951CB"/>
    <w:rsid w:val="4B7C315C"/>
    <w:rsid w:val="4C3011FB"/>
    <w:rsid w:val="4C9316A8"/>
    <w:rsid w:val="4CED5DC2"/>
    <w:rsid w:val="4D1F53CA"/>
    <w:rsid w:val="4DAC4ACA"/>
    <w:rsid w:val="4DBE01D2"/>
    <w:rsid w:val="4EC3046B"/>
    <w:rsid w:val="4F0C6BA3"/>
    <w:rsid w:val="4F186D58"/>
    <w:rsid w:val="501250FA"/>
    <w:rsid w:val="50F06B6E"/>
    <w:rsid w:val="51871B6D"/>
    <w:rsid w:val="51D21804"/>
    <w:rsid w:val="52234D33"/>
    <w:rsid w:val="522F6E0C"/>
    <w:rsid w:val="52463BA1"/>
    <w:rsid w:val="52803E16"/>
    <w:rsid w:val="52F163D4"/>
    <w:rsid w:val="53186CD3"/>
    <w:rsid w:val="531A2DB4"/>
    <w:rsid w:val="53C0244D"/>
    <w:rsid w:val="53DD4D4E"/>
    <w:rsid w:val="53E578CE"/>
    <w:rsid w:val="541330F0"/>
    <w:rsid w:val="541867A2"/>
    <w:rsid w:val="54272666"/>
    <w:rsid w:val="543B029D"/>
    <w:rsid w:val="54861779"/>
    <w:rsid w:val="54A31A4E"/>
    <w:rsid w:val="552256E1"/>
    <w:rsid w:val="552E063E"/>
    <w:rsid w:val="554E5773"/>
    <w:rsid w:val="555829E0"/>
    <w:rsid w:val="555A3CBC"/>
    <w:rsid w:val="5582012B"/>
    <w:rsid w:val="558E4E05"/>
    <w:rsid w:val="55BE2E85"/>
    <w:rsid w:val="56166F25"/>
    <w:rsid w:val="56530F5D"/>
    <w:rsid w:val="567700D3"/>
    <w:rsid w:val="569E5A73"/>
    <w:rsid w:val="56FF7E9E"/>
    <w:rsid w:val="578867FC"/>
    <w:rsid w:val="5842572D"/>
    <w:rsid w:val="58552430"/>
    <w:rsid w:val="5A3B59D6"/>
    <w:rsid w:val="5AD134D8"/>
    <w:rsid w:val="5AF416F4"/>
    <w:rsid w:val="5BF2438F"/>
    <w:rsid w:val="5BF41F67"/>
    <w:rsid w:val="5C263CE4"/>
    <w:rsid w:val="5C5D2777"/>
    <w:rsid w:val="5C5E1A90"/>
    <w:rsid w:val="5CBD33CE"/>
    <w:rsid w:val="5CF66BF3"/>
    <w:rsid w:val="5D290C69"/>
    <w:rsid w:val="5DA80C2C"/>
    <w:rsid w:val="5E431E6E"/>
    <w:rsid w:val="5F2D4A41"/>
    <w:rsid w:val="60C74F6C"/>
    <w:rsid w:val="61015958"/>
    <w:rsid w:val="61025A59"/>
    <w:rsid w:val="613D5BBC"/>
    <w:rsid w:val="61536C39"/>
    <w:rsid w:val="61894431"/>
    <w:rsid w:val="62944DD7"/>
    <w:rsid w:val="629E2A4D"/>
    <w:rsid w:val="6319381F"/>
    <w:rsid w:val="63C25DC5"/>
    <w:rsid w:val="63C62057"/>
    <w:rsid w:val="64571EF5"/>
    <w:rsid w:val="647279ED"/>
    <w:rsid w:val="64FB113D"/>
    <w:rsid w:val="65155F1A"/>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7B7BFA"/>
    <w:rsid w:val="708F6F7F"/>
    <w:rsid w:val="70D94BD3"/>
    <w:rsid w:val="71574775"/>
    <w:rsid w:val="71C34D91"/>
    <w:rsid w:val="72DB435C"/>
    <w:rsid w:val="72E2613A"/>
    <w:rsid w:val="72F771F4"/>
    <w:rsid w:val="73934AD2"/>
    <w:rsid w:val="750837F0"/>
    <w:rsid w:val="754758CF"/>
    <w:rsid w:val="75595ECD"/>
    <w:rsid w:val="75C176C6"/>
    <w:rsid w:val="764F62AB"/>
    <w:rsid w:val="765C45EC"/>
    <w:rsid w:val="768A7619"/>
    <w:rsid w:val="76C9742D"/>
    <w:rsid w:val="77083CD5"/>
    <w:rsid w:val="771348AE"/>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EDF210C"/>
    <w:rsid w:val="7F446A19"/>
    <w:rsid w:val="7F6360D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alloon Text"/>
    <w:basedOn w:val="1"/>
    <w:link w:val="18"/>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paragraph" w:styleId="9">
    <w:name w:val="Body Text First Indent"/>
    <w:basedOn w:val="2"/>
    <w:qFormat/>
    <w:uiPriority w:val="0"/>
    <w:pPr>
      <w:ind w:firstLine="420" w:firstLineChars="1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0"/>
    <w:rPr>
      <w:b/>
    </w:r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2"/>
    <w:link w:val="4"/>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6559</Words>
  <Characters>8273</Characters>
  <Lines>186</Lines>
  <Paragraphs>52</Paragraphs>
  <TotalTime>3</TotalTime>
  <ScaleCrop>false</ScaleCrop>
  <LinksUpToDate>false</LinksUpToDate>
  <CharactersWithSpaces>8733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hc</cp:lastModifiedBy>
  <dcterms:modified xsi:type="dcterms:W3CDTF">2025-09-30T07:37:31Z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BB46EABDBB2749749395447164B066B3_12</vt:lpwstr>
  </property>
  <property fmtid="{D5CDD505-2E9C-101B-9397-08002B2CF9AE}" pid="4" name="KSOTemplateDocerSaveRecord">
    <vt:lpwstr>eyJoZGlkIjoiYzM1OGZjNDA1OWFlZmJlZDQ5OTMxMTdkNWNkMjY0MGUiLCJ1c2VySWQiOiI3ODM5NjEzNDgifQ==</vt:lpwstr>
  </property>
</Properties>
</file>