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秀山土家族苗族自治县卫生应急管理中心</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一、单位基本情况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楷体_GBK" w:hAnsi="方正楷体_GBK" w:eastAsia="方正楷体_GBK" w:cs="方正楷体_GBK"/>
          <w:b w:val="0"/>
          <w:bCs/>
          <w:sz w:val="32"/>
          <w:szCs w:val="32"/>
          <w:shd w:val="clear" w:color="auto" w:fill="FFFFFF"/>
        </w:rPr>
      </w:pPr>
      <w:r>
        <w:rPr>
          <w:rStyle w:val="10"/>
          <w:rFonts w:hint="eastAsia" w:ascii="方正楷体_GBK" w:hAnsi="方正楷体_GBK" w:eastAsia="方正楷体_GBK" w:cs="方正楷体_GBK"/>
          <w:b w:val="0"/>
          <w:bCs/>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9"/>
          <w:rFonts w:hint="eastAsia"/>
          <w:lang w:val="en-US" w:eastAsia="zh-CN"/>
        </w:rPr>
      </w:pPr>
      <w:r>
        <w:rPr>
          <w:rStyle w:val="10"/>
          <w:rFonts w:hint="eastAsia" w:ascii="方正仿宋_GBK" w:hAnsi="方正仿宋_GBK" w:eastAsia="方正仿宋_GBK" w:cs="方正仿宋_GBK"/>
          <w:b w:val="0"/>
          <w:bCs/>
          <w:sz w:val="32"/>
          <w:szCs w:val="32"/>
          <w:shd w:val="clear" w:color="auto" w:fill="FFFFFF"/>
        </w:rPr>
        <w:t>负责应急专项预案编制、应急演练组织实施；负责卫生应急和紧急医学救援；负责卫生应急队伍及公众卫生应急技能培训；负责全县院前急救体系建设与管理；负责卫生应急物资储备、管理；负责反恐、反邪教、扫黑除恶等相关工作；统筹重要会议和重大活动的医疗卫生保障；指导所属事业单位安全生产工作</w:t>
      </w:r>
      <w:r>
        <w:rPr>
          <w:rStyle w:val="10"/>
          <w:rFonts w:hint="eastAsia" w:ascii="方正仿宋_GBK" w:hAnsi="方正仿宋_GBK" w:eastAsia="方正仿宋_GBK" w:cs="方正仿宋_GBK"/>
          <w:b w:val="0"/>
          <w:bCs/>
          <w:sz w:val="32"/>
          <w:szCs w:val="32"/>
          <w:shd w:val="clear" w:color="auto" w:fill="FFFFFF"/>
          <w:lang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0"/>
          <w:rFonts w:hint="eastAsia" w:ascii="方正楷体_GBK" w:hAnsi="方正楷体_GBK" w:eastAsia="方正楷体_GBK" w:cs="方正楷体_GBK"/>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仿宋_GBK" w:hAnsi="方正仿宋_GBK" w:eastAsia="方正仿宋_GBK" w:cs="方正仿宋_GBK"/>
          <w:b w:val="0"/>
          <w:bCs/>
          <w:sz w:val="32"/>
          <w:szCs w:val="32"/>
          <w:shd w:val="clear" w:color="auto" w:fill="FFFFFF"/>
          <w:lang w:eastAsia="zh-CN"/>
        </w:rPr>
      </w:pPr>
      <w:r>
        <w:rPr>
          <w:rStyle w:val="10"/>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3"/>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FF0000"/>
          <w:sz w:val="32"/>
          <w:szCs w:val="32"/>
          <w:shd w:val="clear" w:color="auto" w:fill="FFFFFF"/>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142.06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收、支与2023年度相比，增加38.25万元，增长36.9%</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人员增加，相关经费增加。</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hint="default" w:ascii="Times New Roman" w:hAnsi="Times New Roman" w:eastAsia="方正仿宋_GBK"/>
          <w:b w:val="0"/>
          <w:bCs/>
          <w:sz w:val="32"/>
          <w:szCs w:val="32"/>
          <w:shd w:val="clear" w:color="auto" w:fill="FFFFFF"/>
        </w:rPr>
        <w:t>142.06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与2023年度相比，增加38.25万元，增长36.9%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人员增加，相关经费增加。</w:t>
      </w:r>
      <w:r>
        <w:rPr>
          <w:rFonts w:ascii="方正仿宋_GBK" w:hAnsi="方正仿宋_GBK" w:eastAsia="方正仿宋_GBK" w:cs="方正仿宋_GBK"/>
          <w:b w:val="0"/>
          <w:bCs/>
          <w:sz w:val="32"/>
          <w:szCs w:val="32"/>
          <w:shd w:val="clear" w:color="auto" w:fill="FFFFFF"/>
        </w:rPr>
        <w:t>其中：财政拨款收入</w:t>
      </w:r>
      <w:r>
        <w:rPr>
          <w:rFonts w:hint="default" w:ascii="Times New Roman" w:hAnsi="Times New Roman" w:eastAsia="方正仿宋_GBK"/>
          <w:b w:val="0"/>
          <w:bCs/>
          <w:sz w:val="32"/>
          <w:szCs w:val="32"/>
          <w:shd w:val="clear" w:color="auto" w:fill="FFFFFF"/>
        </w:rPr>
        <w:t>142.06</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；事业收入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；其他收入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w:t>
      </w:r>
      <w:r>
        <w:rPr>
          <w:rFonts w:hint="eastAsia" w:ascii="方正仿宋_GBK" w:hAnsi="方正仿宋_GBK" w:eastAsia="方正仿宋_GBK" w:cs="方正仿宋_GBK"/>
          <w:b w:val="0"/>
          <w:bCs/>
          <w:sz w:val="32"/>
          <w:szCs w:val="32"/>
          <w:shd w:val="clear" w:color="auto" w:fill="FFFFFF"/>
        </w:rPr>
        <w:t>使用非财政拨款结余（含专用结余）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万元，年初结转和结余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rPr>
      </w:pP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.支出情况。2024年度支出合计142.06万元，与2023年度相比，增加38.25万元，增长36.9%，主要原因是</w:t>
      </w:r>
      <w:r>
        <w:rPr>
          <w:rFonts w:hint="default" w:ascii="Times New Roman" w:hAnsi="Times New Roman" w:eastAsia="方正仿宋_GBK" w:cs="Times New Roman"/>
          <w:b w:val="0"/>
          <w:bCs/>
          <w:sz w:val="32"/>
          <w:szCs w:val="32"/>
          <w:shd w:val="clear" w:color="auto" w:fill="FFFFFF"/>
          <w:lang w:eastAsia="zh-CN"/>
        </w:rPr>
        <w:t>人员增加，相关人员支出增加。</w:t>
      </w:r>
      <w:r>
        <w:rPr>
          <w:rFonts w:hint="default" w:ascii="Times New Roman" w:hAnsi="Times New Roman" w:eastAsia="方正仿宋_GBK" w:cs="Times New Roman"/>
          <w:b w:val="0"/>
          <w:bCs/>
          <w:sz w:val="32"/>
          <w:szCs w:val="32"/>
          <w:shd w:val="clear" w:color="auto" w:fill="FFFFFF"/>
        </w:rPr>
        <w:t>其中：基本支出142.06万元，占100.0%；项目支出0.00万元，占0.0%；经营支出0.00万元，占0.0%。此外，结余分配0.00万元。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Style w:val="10"/>
          <w:rFonts w:hint="eastAsia" w:ascii="Times New Roman" w:hAnsi="Times New Roman" w:eastAsia="方正仿宋_GBK"/>
          <w:b w:val="0"/>
          <w:bCs/>
          <w:sz w:val="32"/>
          <w:szCs w:val="32"/>
          <w:shd w:val="clear" w:color="auto" w:fill="FFFFFF"/>
          <w:lang w:val="en-US" w:eastAsia="zh-CN"/>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eastAsia="zh-CN"/>
        </w:rPr>
        <w:t>年末收支平衡，无结余。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sz w:val="32"/>
          <w:szCs w:val="32"/>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年度财政拨款收、支总计均为</w:t>
      </w:r>
      <w:r>
        <w:rPr>
          <w:rFonts w:hint="default" w:ascii="Times New Roman" w:hAnsi="Times New Roman" w:eastAsia="方正仿宋_GBK"/>
          <w:b w:val="0"/>
          <w:bCs/>
          <w:sz w:val="32"/>
          <w:szCs w:val="32"/>
          <w:shd w:val="clear" w:color="auto" w:fill="FFFFFF"/>
        </w:rPr>
        <w:t>142.06</w:t>
      </w:r>
      <w:r>
        <w:rPr>
          <w:rFonts w:ascii="方正仿宋_GBK" w:hAnsi="方正仿宋_GBK" w:eastAsia="方正仿宋_GBK" w:cs="方正仿宋_GBK"/>
          <w:b w:val="0"/>
          <w:bCs/>
          <w:sz w:val="32"/>
          <w:szCs w:val="32"/>
          <w:shd w:val="clear" w:color="auto" w:fill="FFFFFF"/>
        </w:rPr>
        <w:t>万元。与</w:t>
      </w:r>
      <w:r>
        <w:rPr>
          <w:rFonts w:hint="default"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w:t>
      </w:r>
      <w:r>
        <w:rPr>
          <w:rFonts w:hint="eastAsia" w:ascii="方正仿宋_GBK" w:hAnsi="方正仿宋_GBK" w:eastAsia="方正仿宋_GBK" w:cs="方正仿宋_GBK"/>
          <w:b w:val="0"/>
          <w:bCs/>
          <w:sz w:val="32"/>
          <w:szCs w:val="32"/>
          <w:shd w:val="clear" w:color="auto" w:fill="FFFFFF"/>
          <w:lang w:eastAsia="zh-CN"/>
        </w:rPr>
        <w:t>度</w:t>
      </w:r>
      <w:r>
        <w:rPr>
          <w:rFonts w:ascii="方正仿宋_GBK" w:hAnsi="方正仿宋_GBK" w:eastAsia="方正仿宋_GBK" w:cs="方正仿宋_GBK"/>
          <w:b w:val="0"/>
          <w:bCs/>
          <w:sz w:val="32"/>
          <w:szCs w:val="32"/>
          <w:shd w:val="clear" w:color="auto" w:fill="FFFFFF"/>
        </w:rPr>
        <w:t>相比，</w:t>
      </w:r>
      <w:r>
        <w:rPr>
          <w:rFonts w:hint="default" w:ascii="Times New Roman" w:hAnsi="Times New Roman" w:eastAsia="方正仿宋_GBK"/>
          <w:b w:val="0"/>
          <w:bCs/>
          <w:sz w:val="32"/>
          <w:szCs w:val="32"/>
          <w:shd w:val="clear" w:color="auto" w:fill="FFFFFF"/>
        </w:rPr>
        <w:t>财政拨款收、支总计各增加38.25万元，增长36.9%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人员增加，相关人员经费增加。</w:t>
      </w:r>
    </w:p>
    <w:p>
      <w:pPr>
        <w:pStyle w:val="13"/>
        <w:keepNext w:val="0"/>
        <w:keepLines w:val="0"/>
        <w:pageBreakBefore w:val="0"/>
        <w:widowControl/>
        <w:kinsoku/>
        <w:wordWrap/>
        <w:overflowPunct/>
        <w:topLinePunct w:val="0"/>
        <w:autoSpaceDE w:val="0"/>
        <w:autoSpaceDN/>
        <w:bidi w:val="0"/>
        <w:adjustRightInd/>
        <w:snapToGrid/>
        <w:spacing w:line="596" w:lineRule="exact"/>
        <w:ind w:firstLine="640" w:firstLineChars="200"/>
        <w:textAlignment w:val="auto"/>
        <w:rPr>
          <w:rFonts w:ascii="楷体" w:hAnsi="楷体" w:eastAsia="楷体" w:cs="楷体"/>
          <w:b w:val="0"/>
          <w:bCs/>
          <w:sz w:val="32"/>
          <w:szCs w:val="32"/>
          <w:shd w:val="clear" w:color="auto" w:fill="FFFFFF"/>
        </w:rPr>
      </w:pPr>
      <w:r>
        <w:rPr>
          <w:rFonts w:hint="eastAsia" w:ascii="楷体" w:hAnsi="楷体" w:eastAsia="楷体" w:cs="楷体"/>
          <w:b w:val="0"/>
          <w:bCs/>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142.06</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与2023年度相比，增加38.25万元，增长36.9%</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人员增加，人员经费增加。</w:t>
      </w:r>
      <w:r>
        <w:rPr>
          <w:rFonts w:hint="default" w:ascii="Times New Roman" w:hAnsi="Times New Roman" w:eastAsia="方正仿宋_GBK"/>
          <w:b w:val="0"/>
          <w:bCs/>
          <w:sz w:val="32"/>
          <w:szCs w:val="32"/>
          <w:shd w:val="clear" w:color="auto" w:fill="FFFFFF"/>
        </w:rPr>
        <w:t>较年</w:t>
      </w:r>
      <w:r>
        <w:rPr>
          <w:rFonts w:hint="default" w:ascii="Times New Roman" w:hAnsi="Times New Roman" w:eastAsia="方正仿宋_GBK"/>
          <w:sz w:val="32"/>
          <w:szCs w:val="32"/>
          <w:shd w:val="clear" w:color="auto" w:fill="FFFFFF"/>
        </w:rPr>
        <w:t>初预算数增加85.63万元，增长151.8%</w:t>
      </w:r>
      <w:r>
        <w:rPr>
          <w:rFonts w:ascii="方正仿宋_GBK" w:hAnsi="方正仿宋_GBK" w:eastAsia="方正仿宋_GBK" w:cs="方正仿宋_GBK"/>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本单位收入来源于财政实际拨款。</w:t>
      </w:r>
      <w:r>
        <w:rPr>
          <w:rFonts w:ascii="方正仿宋_GBK" w:hAnsi="方正仿宋_GBK" w:eastAsia="方正仿宋_GBK" w:cs="方正仿宋_GBK"/>
          <w:sz w:val="32"/>
          <w:szCs w:val="32"/>
          <w:shd w:val="clear" w:color="auto" w:fill="FFFFFF"/>
        </w:rPr>
        <w:t>此外，年初财政拨款结转和结余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w:t>
      </w:r>
      <w:r>
        <w:rPr>
          <w:rFonts w:hint="default" w:ascii="Times New Roman" w:hAnsi="Times New Roman" w:eastAsia="方正仿宋_GBK"/>
          <w:sz w:val="32"/>
          <w:szCs w:val="32"/>
          <w:shd w:val="clear" w:color="auto" w:fill="FFFFFF"/>
        </w:rPr>
        <w:t>024</w:t>
      </w:r>
      <w:r>
        <w:rPr>
          <w:rFonts w:ascii="方正仿宋_GBK" w:hAnsi="方正仿宋_GBK" w:eastAsia="方正仿宋_GBK" w:cs="方正仿宋_GBK"/>
          <w:sz w:val="32"/>
          <w:szCs w:val="32"/>
          <w:shd w:val="clear" w:color="auto" w:fill="FFFFFF"/>
        </w:rPr>
        <w:t>年度一般公共预算财政拨款支出</w:t>
      </w:r>
      <w:r>
        <w:rPr>
          <w:rFonts w:hint="default" w:ascii="Times New Roman" w:hAnsi="Times New Roman" w:eastAsia="方正仿宋_GBK"/>
          <w:sz w:val="32"/>
          <w:szCs w:val="32"/>
          <w:shd w:val="clear" w:color="auto" w:fill="FFFFFF"/>
        </w:rPr>
        <w:t>142.06</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与2023年度相比，增加38.25万元，增长36.9%</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人员增加，人员经费支出增加。</w:t>
      </w:r>
      <w:r>
        <w:rPr>
          <w:rFonts w:hint="default" w:ascii="Times New Roman" w:hAnsi="Times New Roman" w:eastAsia="方正仿宋_GBK"/>
          <w:sz w:val="32"/>
          <w:szCs w:val="32"/>
          <w:shd w:val="clear" w:color="auto" w:fill="FFFFFF"/>
        </w:rPr>
        <w:t>较年初预算数增加85.63万元，增长151.8%</w:t>
      </w:r>
      <w:r>
        <w:rPr>
          <w:rFonts w:ascii="方正仿宋_GBK" w:hAnsi="方正仿宋_GBK" w:eastAsia="方正仿宋_GBK" w:cs="方正仿宋_GBK"/>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w:t>
      </w:r>
      <w:r>
        <w:rPr>
          <w:rStyle w:val="10"/>
          <w:rFonts w:hint="eastAsia" w:ascii="Times New Roman" w:hAnsi="Times New Roman" w:eastAsia="方正仿宋_GBK" w:cs="Times New Roman"/>
          <w:b w:val="0"/>
          <w:bCs/>
          <w:sz w:val="32"/>
          <w:szCs w:val="32"/>
          <w:shd w:val="clear" w:color="auto" w:fill="FFFFFF"/>
          <w:lang w:eastAsia="zh-CN"/>
        </w:rPr>
        <w:t>支出</w:t>
      </w:r>
      <w:r>
        <w:rPr>
          <w:rStyle w:val="10"/>
          <w:rFonts w:hint="default" w:ascii="Times New Roman" w:hAnsi="Times New Roman" w:eastAsia="方正仿宋_GBK" w:cs="Times New Roman"/>
          <w:b w:val="0"/>
          <w:bCs/>
          <w:sz w:val="32"/>
          <w:szCs w:val="32"/>
          <w:shd w:val="clear" w:color="auto" w:fill="FFFFFF"/>
          <w:lang w:eastAsia="zh-CN"/>
        </w:rPr>
        <w:t>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就业支出22.19万元，占15.6%，较年初预算数增加16.18万元，增长269.2%，主要原因是</w:t>
      </w:r>
      <w:r>
        <w:rPr>
          <w:rFonts w:hint="default" w:ascii="Times New Roman" w:hAnsi="Times New Roman" w:eastAsia="方正仿宋_GBK" w:cs="Times New Roman"/>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）卫生健康支出113.06万元，占79.6%，较年初预算数增加65.65万元，增长138.5%，主要原因是</w:t>
      </w:r>
      <w:r>
        <w:rPr>
          <w:rFonts w:hint="default" w:ascii="Times New Roman" w:hAnsi="Times New Roman" w:eastAsia="方正仿宋_GBK" w:cs="Times New Roman"/>
          <w:sz w:val="32"/>
          <w:szCs w:val="32"/>
          <w:shd w:val="clear" w:color="auto" w:fill="FFFFFF"/>
          <w:lang w:eastAsia="zh-CN"/>
        </w:rPr>
        <w:t>本单位支出来源于财政实际拨款。</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方正仿宋_GBK" w:hAnsi="方正仿宋_GBK" w:eastAsia="方正仿宋_GBK" w:cs="方正仿宋_GBK"/>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6.81万元，占4.8%，较年初预算数增加3.80万元，增长126.3%，主要原因是</w:t>
      </w:r>
      <w:r>
        <w:rPr>
          <w:rFonts w:hint="default" w:ascii="Times New Roman" w:hAnsi="Times New Roman" w:eastAsia="方正仿宋_GBK" w:cs="Times New Roman"/>
          <w:sz w:val="32"/>
          <w:szCs w:val="32"/>
          <w:shd w:val="clear" w:color="auto" w:fill="FFFFFF"/>
          <w:lang w:eastAsia="zh-CN"/>
        </w:rPr>
        <w:t>本单位支出来源于财政实际拨款。</w:t>
      </w:r>
    </w:p>
    <w:p>
      <w:pPr>
        <w:pStyle w:val="8"/>
        <w:snapToGrid w:val="0"/>
        <w:spacing w:before="0" w:beforeAutospacing="0" w:after="0" w:afterAutospacing="0" w:line="596" w:lineRule="exact"/>
        <w:ind w:firstLine="640" w:firstLineChars="200"/>
        <w:jc w:val="both"/>
        <w:rPr>
          <w:rFonts w:hint="eastAsia" w:ascii="方正仿宋_GBK" w:hAnsi="方正仿宋_GBK" w:eastAsia="方正仿宋_GBK" w:cs="方正仿宋_GBK"/>
          <w:color w:val="FF0000"/>
          <w:sz w:val="32"/>
          <w:szCs w:val="32"/>
          <w:shd w:val="clear" w:color="auto" w:fill="FFFFFF"/>
          <w:lang w:eastAsia="zh-CN"/>
        </w:rPr>
      </w:pPr>
      <w:r>
        <w:rPr>
          <w:rStyle w:val="10"/>
          <w:rFonts w:hint="default" w:ascii="Times New Roman" w:hAnsi="Times New Roman" w:eastAsia="方正仿宋_GBK"/>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w:t>
      </w:r>
      <w:r>
        <w:rPr>
          <w:rFonts w:hint="default" w:ascii="Times New Roman" w:hAnsi="Times New Roman" w:eastAsia="方正仿宋_GBK"/>
          <w:sz w:val="32"/>
          <w:szCs w:val="32"/>
          <w:shd w:val="clear" w:color="auto" w:fill="FFFFFF"/>
        </w:rPr>
        <w:t>4</w:t>
      </w:r>
      <w:r>
        <w:rPr>
          <w:rFonts w:ascii="方正仿宋_GBK" w:hAnsi="方正仿宋_GBK" w:eastAsia="方正仿宋_GBK" w:cs="方正仿宋_GBK"/>
          <w:sz w:val="32"/>
          <w:szCs w:val="32"/>
          <w:shd w:val="clear" w:color="auto" w:fill="FFFFFF"/>
        </w:rPr>
        <w:t>年度年末一般公共预算财政拨款结转和结余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与2023年度相比，无增减</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年末收支平</w:t>
      </w:r>
      <w:r>
        <w:rPr>
          <w:rFonts w:hint="eastAsia" w:ascii="Times New Roman" w:hAnsi="Times New Roman" w:eastAsia="方正仿宋_GBK" w:cs="Times New Roman"/>
          <w:b w:val="0"/>
          <w:bCs/>
          <w:sz w:val="32"/>
          <w:szCs w:val="32"/>
          <w:shd w:val="clear" w:color="auto" w:fill="FFFFFF"/>
          <w:lang w:eastAsia="zh-CN"/>
        </w:rPr>
        <w:t>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auto"/>
          <w:sz w:val="32"/>
          <w:szCs w:val="32"/>
          <w:shd w:val="clear" w:color="auto" w:fill="FFFFFF"/>
        </w:rPr>
      </w:pPr>
      <w:r>
        <w:rPr>
          <w:rFonts w:hint="default" w:ascii="Times New Roman" w:hAnsi="Times New Roman" w:eastAsia="方正仿宋_GBK"/>
          <w:color w:val="auto"/>
          <w:sz w:val="32"/>
          <w:szCs w:val="32"/>
          <w:shd w:val="clear" w:color="auto" w:fill="FFFFFF"/>
        </w:rPr>
        <w:t>2024</w:t>
      </w:r>
      <w:r>
        <w:rPr>
          <w:rFonts w:ascii="方正仿宋_GBK" w:hAnsi="方正仿宋_GBK" w:eastAsia="方正仿宋_GBK" w:cs="方正仿宋_GBK"/>
          <w:color w:val="auto"/>
          <w:sz w:val="32"/>
          <w:szCs w:val="32"/>
          <w:shd w:val="clear" w:color="auto" w:fill="FFFFFF"/>
        </w:rPr>
        <w:t>年度一般公共财政拨款基本支出</w:t>
      </w:r>
      <w:r>
        <w:rPr>
          <w:rFonts w:hint="default" w:ascii="Times New Roman" w:hAnsi="Times New Roman" w:eastAsia="方正仿宋_GBK"/>
          <w:color w:val="auto"/>
          <w:sz w:val="32"/>
          <w:szCs w:val="32"/>
          <w:shd w:val="clear" w:color="auto" w:fill="FFFFFF"/>
        </w:rPr>
        <w:t>142.06</w:t>
      </w:r>
      <w:r>
        <w:rPr>
          <w:rFonts w:ascii="方正仿宋_GBK" w:hAnsi="方正仿宋_GBK" w:eastAsia="方正仿宋_GBK" w:cs="方正仿宋_GBK"/>
          <w:color w:val="auto"/>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ascii="方正仿宋_GBK" w:hAnsi="方正仿宋_GBK" w:eastAsia="方正仿宋_GBK" w:cs="方正仿宋_GBK"/>
          <w:color w:val="auto"/>
          <w:sz w:val="32"/>
          <w:szCs w:val="32"/>
          <w:shd w:val="clear" w:color="auto" w:fill="FFFFFF"/>
        </w:rPr>
      </w:pPr>
      <w:r>
        <w:rPr>
          <w:rFonts w:ascii="方正仿宋_GBK" w:hAnsi="方正仿宋_GBK" w:eastAsia="方正仿宋_GBK" w:cs="方正仿宋_GBK"/>
          <w:color w:val="auto"/>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color w:val="auto"/>
          <w:sz w:val="32"/>
          <w:szCs w:val="32"/>
          <w:highlight w:val="none"/>
          <w:shd w:val="clear" w:color="auto" w:fill="FFFFFF"/>
          <w:lang w:eastAsia="zh-CN"/>
        </w:rPr>
      </w:pPr>
      <w:r>
        <w:rPr>
          <w:rFonts w:ascii="方正仿宋_GBK" w:hAnsi="方正仿宋_GBK" w:eastAsia="方正仿宋_GBK" w:cs="方正仿宋_GBK"/>
          <w:color w:val="auto"/>
          <w:sz w:val="32"/>
          <w:szCs w:val="32"/>
          <w:shd w:val="clear" w:color="auto" w:fill="FFFFFF"/>
        </w:rPr>
        <w:t>人员经费</w:t>
      </w:r>
      <w:r>
        <w:rPr>
          <w:rFonts w:hint="default" w:ascii="Times New Roman" w:hAnsi="Times New Roman" w:eastAsia="方正仿宋_GBK"/>
          <w:color w:val="auto"/>
          <w:sz w:val="32"/>
          <w:szCs w:val="32"/>
          <w:shd w:val="clear" w:color="auto" w:fill="FFFFFF"/>
        </w:rPr>
        <w:t>133.36</w:t>
      </w:r>
      <w:r>
        <w:rPr>
          <w:rFonts w:ascii="方正仿宋_GBK" w:hAnsi="方正仿宋_GBK" w:eastAsia="方正仿宋_GBK" w:cs="方正仿宋_GBK"/>
          <w:color w:val="auto"/>
          <w:sz w:val="32"/>
          <w:szCs w:val="32"/>
          <w:shd w:val="clear" w:color="auto" w:fill="FFFFFF"/>
        </w:rPr>
        <w:t>万元，</w:t>
      </w:r>
      <w:r>
        <w:rPr>
          <w:rFonts w:hint="default" w:ascii="Times New Roman" w:hAnsi="Times New Roman" w:eastAsia="方正仿宋_GBK"/>
          <w:color w:val="auto"/>
          <w:sz w:val="32"/>
          <w:szCs w:val="32"/>
          <w:shd w:val="clear" w:color="auto" w:fill="FFFFFF"/>
        </w:rPr>
        <w:t>与2023年度相比，增加33.63万元，增长33.7%</w:t>
      </w:r>
      <w:r>
        <w:rPr>
          <w:rFonts w:ascii="方正仿宋_GBK" w:hAnsi="方正仿宋_GBK" w:eastAsia="方正仿宋_GBK" w:cs="方正仿宋_GBK"/>
          <w:color w:val="auto"/>
          <w:sz w:val="32"/>
          <w:szCs w:val="32"/>
          <w:shd w:val="clear" w:color="auto" w:fill="FFFFFF"/>
        </w:rPr>
        <w:t>，主要原因是</w:t>
      </w:r>
      <w:r>
        <w:rPr>
          <w:rFonts w:hint="eastAsia" w:ascii="方正仿宋_GBK" w:hAnsi="方正仿宋_GBK" w:eastAsia="方正仿宋_GBK" w:cs="方正仿宋_GBK"/>
          <w:color w:val="auto"/>
          <w:sz w:val="32"/>
          <w:szCs w:val="32"/>
          <w:shd w:val="clear" w:color="auto" w:fill="FFFFFF"/>
          <w:lang w:eastAsia="zh-CN"/>
        </w:rPr>
        <w:t>人员增加，人员经费增加。</w:t>
      </w:r>
      <w:r>
        <w:rPr>
          <w:rFonts w:ascii="方正仿宋_GBK" w:hAnsi="方正仿宋_GBK" w:eastAsia="方正仿宋_GBK" w:cs="方正仿宋_GBK"/>
          <w:color w:val="auto"/>
          <w:sz w:val="32"/>
          <w:szCs w:val="32"/>
          <w:shd w:val="clear" w:color="auto" w:fill="FFFFFF"/>
        </w:rPr>
        <w:t>人员经费用途主要包括</w:t>
      </w:r>
      <w:r>
        <w:rPr>
          <w:rFonts w:hint="eastAsia" w:ascii="方正仿宋_GBK" w:hAnsi="方正仿宋_GBK" w:eastAsia="方正仿宋_GBK" w:cs="方正仿宋_GBK"/>
          <w:color w:val="auto"/>
          <w:sz w:val="32"/>
          <w:szCs w:val="32"/>
          <w:highlight w:val="none"/>
          <w:shd w:val="clear" w:color="auto" w:fill="FFFFFF"/>
          <w:lang w:eastAsia="zh-CN"/>
        </w:rPr>
        <w:t>基本工资、绩效工资、津贴补贴、社会保障等。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公用经费</w:t>
      </w:r>
      <w:r>
        <w:rPr>
          <w:rFonts w:hint="default" w:ascii="Times New Roman" w:hAnsi="Times New Roman" w:eastAsia="方正仿宋_GBK"/>
          <w:sz w:val="32"/>
          <w:szCs w:val="32"/>
          <w:shd w:val="clear" w:color="auto" w:fill="FFFFFF"/>
        </w:rPr>
        <w:t>8.71</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sz w:val="32"/>
          <w:szCs w:val="32"/>
          <w:shd w:val="clear" w:color="auto" w:fill="FFFFFF"/>
        </w:rPr>
        <w:t>与2023年度相比，增加4.63万元，增长113.5%</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其他商品和服务支出增加。</w:t>
      </w:r>
      <w:r>
        <w:rPr>
          <w:rFonts w:ascii="方正仿宋_GBK" w:hAnsi="方正仿宋_GBK" w:eastAsia="方正仿宋_GBK" w:cs="方正仿宋_GBK"/>
          <w:sz w:val="32"/>
          <w:szCs w:val="32"/>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办公费、水费、电费、差旅费、其他商品和服务支出。</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（六）国有资本经营预算财政拨款支出决算情况说明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left="638" w:leftChars="266" w:firstLine="0" w:firstLineChars="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w:t>
      </w:r>
      <w:r>
        <w:rPr>
          <w:rFonts w:hint="eastAsia" w:ascii="Times New Roman" w:hAnsi="Times New Roman" w:eastAsia="方正仿宋_GBK" w:cs="Times New Roman"/>
          <w:b w:val="0"/>
          <w:bCs/>
          <w:sz w:val="32"/>
          <w:szCs w:val="32"/>
          <w:shd w:val="clear" w:color="auto" w:fill="FFFFFF"/>
          <w:lang w:eastAsia="zh-CN"/>
        </w:rPr>
        <w:t>未使用财政资金保障“三公经费”。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color w:val="auto"/>
          <w:sz w:val="32"/>
          <w:szCs w:val="32"/>
        </w:rPr>
      </w:pPr>
      <w:r>
        <w:rPr>
          <w:rFonts w:ascii="方正仿宋_GBK" w:hAnsi="方正仿宋_GBK" w:eastAsia="方正仿宋_GBK" w:cs="方正仿宋_GBK"/>
          <w:b w:val="0"/>
          <w:bCs w:val="0"/>
          <w:color w:val="auto"/>
          <w:sz w:val="32"/>
          <w:szCs w:val="32"/>
          <w:shd w:val="clear" w:color="auto" w:fill="FFFFFF"/>
        </w:rPr>
        <w:t>本年度会议费支出</w:t>
      </w:r>
      <w:r>
        <w:rPr>
          <w:rFonts w:hint="default" w:ascii="Times New Roman" w:hAnsi="Times New Roman" w:eastAsia="方正仿宋_GBK"/>
          <w:b w:val="0"/>
          <w:bCs w:val="0"/>
          <w:color w:val="auto"/>
          <w:sz w:val="32"/>
          <w:szCs w:val="32"/>
          <w:shd w:val="clear" w:color="auto" w:fill="FFFFFF"/>
        </w:rPr>
        <w:t>0.00</w:t>
      </w:r>
      <w:r>
        <w:rPr>
          <w:rFonts w:ascii="方正仿宋_GBK" w:hAnsi="方正仿宋_GBK"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与2023年度相比，无增减</w:t>
      </w:r>
      <w:r>
        <w:rPr>
          <w:rFonts w:ascii="方正仿宋_GBK" w:hAnsi="方正仿宋_GBK" w:eastAsia="方正仿宋_GBK" w:cs="方正仿宋_GBK"/>
          <w:b w:val="0"/>
          <w:bCs w:val="0"/>
          <w:color w:val="auto"/>
          <w:sz w:val="32"/>
          <w:szCs w:val="32"/>
          <w:shd w:val="clear" w:color="auto" w:fill="FFFFFF"/>
        </w:rPr>
        <w:t>，主要原因是</w:t>
      </w:r>
      <w:r>
        <w:rPr>
          <w:rFonts w:hint="eastAsia" w:ascii="方正仿宋_GBK" w:hAnsi="方正仿宋_GBK" w:eastAsia="方正仿宋_GBK" w:cs="方正仿宋_GBK"/>
          <w:b w:val="0"/>
          <w:bCs w:val="0"/>
          <w:color w:val="auto"/>
          <w:sz w:val="32"/>
          <w:szCs w:val="32"/>
          <w:shd w:val="clear" w:color="auto" w:fill="FFFFFF"/>
          <w:lang w:eastAsia="zh-CN"/>
        </w:rPr>
        <w:t>本年度未发生会议费。</w:t>
      </w:r>
      <w:r>
        <w:rPr>
          <w:rFonts w:ascii="方正仿宋_GBK" w:hAnsi="方正仿宋_GBK" w:eastAsia="方正仿宋_GBK" w:cs="方正仿宋_GBK"/>
          <w:b w:val="0"/>
          <w:bCs w:val="0"/>
          <w:color w:val="auto"/>
          <w:sz w:val="32"/>
          <w:szCs w:val="32"/>
          <w:shd w:val="clear" w:color="auto" w:fill="FFFFFF"/>
        </w:rPr>
        <w:t>本年度培训费支出</w:t>
      </w:r>
      <w:r>
        <w:rPr>
          <w:rFonts w:hint="default" w:ascii="Times New Roman" w:hAnsi="Times New Roman" w:eastAsia="方正仿宋_GBK"/>
          <w:b w:val="0"/>
          <w:bCs w:val="0"/>
          <w:color w:val="auto"/>
          <w:sz w:val="32"/>
          <w:szCs w:val="32"/>
          <w:shd w:val="clear" w:color="auto" w:fill="FFFFFF"/>
        </w:rPr>
        <w:t>0.00</w:t>
      </w:r>
      <w:r>
        <w:rPr>
          <w:rFonts w:ascii="方正仿宋_GBK" w:hAnsi="方正仿宋_GBK" w:eastAsia="方正仿宋_GBK" w:cs="方正仿宋_GBK"/>
          <w:b w:val="0"/>
          <w:bCs w:val="0"/>
          <w:color w:val="auto"/>
          <w:sz w:val="32"/>
          <w:szCs w:val="32"/>
          <w:shd w:val="clear" w:color="auto" w:fill="FFFFFF"/>
        </w:rPr>
        <w:t>万元，</w:t>
      </w:r>
      <w:r>
        <w:rPr>
          <w:rFonts w:hint="default" w:ascii="Times New Roman" w:hAnsi="Times New Roman" w:eastAsia="方正仿宋_GBK"/>
          <w:b w:val="0"/>
          <w:bCs w:val="0"/>
          <w:color w:val="auto"/>
          <w:sz w:val="32"/>
          <w:szCs w:val="32"/>
          <w:shd w:val="clear" w:color="auto" w:fill="FFFFFF"/>
        </w:rPr>
        <w:t>与2023年度相比，无变化</w:t>
      </w:r>
      <w:r>
        <w:rPr>
          <w:rFonts w:ascii="方正仿宋_GBK" w:hAnsi="方正仿宋_GBK" w:eastAsia="方正仿宋_GBK" w:cs="方正仿宋_GBK"/>
          <w:b w:val="0"/>
          <w:bCs w:val="0"/>
          <w:color w:val="auto"/>
          <w:sz w:val="32"/>
          <w:szCs w:val="32"/>
          <w:shd w:val="clear" w:color="auto" w:fill="FFFFFF"/>
        </w:rPr>
        <w:t>，主要原因是</w:t>
      </w:r>
      <w:r>
        <w:rPr>
          <w:rFonts w:hint="eastAsia" w:ascii="方正仿宋_GBK" w:hAnsi="方正仿宋_GBK" w:eastAsia="方正仿宋_GBK" w:cs="方正仿宋_GBK"/>
          <w:b w:val="0"/>
          <w:bCs w:val="0"/>
          <w:color w:val="auto"/>
          <w:sz w:val="32"/>
          <w:szCs w:val="32"/>
          <w:shd w:val="clear" w:color="auto" w:fill="FFFFFF"/>
          <w:lang w:eastAsia="zh-CN"/>
        </w:rPr>
        <w:t>本年度未发生培训费。</w:t>
      </w:r>
      <w:r>
        <w:rPr>
          <w:rFonts w:ascii="方正仿宋_GBK" w:hAnsi="方正仿宋_GBK" w:eastAsia="方正仿宋_GBK" w:cs="方正仿宋_GBK"/>
          <w:b w:val="0"/>
          <w:bCs w:val="0"/>
          <w:color w:val="auto"/>
          <w:sz w:val="32"/>
          <w:szCs w:val="32"/>
          <w:shd w:val="clear" w:color="auto" w:fill="FFFFFF"/>
        </w:rPr>
        <w:t>本年度差旅费支出</w:t>
      </w:r>
      <w:r>
        <w:rPr>
          <w:rFonts w:hint="default" w:ascii="Times New Roman" w:hAnsi="Times New Roman" w:eastAsia="方正仿宋_GBK"/>
          <w:b w:val="0"/>
          <w:bCs w:val="0"/>
          <w:color w:val="auto"/>
          <w:sz w:val="32"/>
          <w:szCs w:val="32"/>
          <w:shd w:val="clear" w:color="auto" w:fill="FFFFFF"/>
        </w:rPr>
        <w:t>0.40</w:t>
      </w:r>
      <w:r>
        <w:rPr>
          <w:rFonts w:ascii="方正仿宋_GBK" w:hAnsi="方正仿宋_GBK" w:eastAsia="方正仿宋_GBK" w:cs="方正仿宋_GBK"/>
          <w:b w:val="0"/>
          <w:bCs w:val="0"/>
          <w:color w:val="auto"/>
          <w:sz w:val="32"/>
          <w:szCs w:val="32"/>
        </w:rPr>
        <w:t>万元，</w:t>
      </w:r>
      <w:r>
        <w:rPr>
          <w:rFonts w:hint="default" w:ascii="Times New Roman" w:hAnsi="Times New Roman" w:eastAsia="方正仿宋_GBK"/>
          <w:b w:val="0"/>
          <w:bCs w:val="0"/>
          <w:color w:val="auto"/>
          <w:sz w:val="32"/>
          <w:szCs w:val="32"/>
          <w:shd w:val="clear" w:color="auto" w:fill="FFFFFF"/>
        </w:rPr>
        <w:t>与2023年度相比，减少0.18万元，下降31.0%</w:t>
      </w:r>
      <w:r>
        <w:rPr>
          <w:rFonts w:ascii="方正仿宋_GBK" w:hAnsi="方正仿宋_GBK" w:eastAsia="方正仿宋_GBK" w:cs="方正仿宋_GBK"/>
          <w:b w:val="0"/>
          <w:bCs w:val="0"/>
          <w:color w:val="auto"/>
          <w:sz w:val="32"/>
          <w:szCs w:val="32"/>
          <w:shd w:val="clear" w:color="auto" w:fill="FFFFFF"/>
        </w:rPr>
        <w:t>，主要原因是</w:t>
      </w:r>
      <w:r>
        <w:rPr>
          <w:rFonts w:hint="eastAsia" w:ascii="方正仿宋_GBK" w:hAnsi="方正仿宋_GBK" w:eastAsia="方正仿宋_GBK" w:cs="方正仿宋_GBK"/>
          <w:b w:val="0"/>
          <w:bCs w:val="0"/>
          <w:color w:val="auto"/>
          <w:sz w:val="32"/>
          <w:szCs w:val="32"/>
          <w:shd w:val="clear" w:color="auto" w:fill="FFFFFF"/>
          <w:lang w:eastAsia="zh-CN"/>
        </w:rPr>
        <w:t>出差次数减少。</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sz w:val="32"/>
          <w:szCs w:val="32"/>
          <w:shd w:val="clear" w:color="auto" w:fill="FFFFFF"/>
        </w:rPr>
        <w:t>按照部门决算列报口径，</w:t>
      </w:r>
      <w:r>
        <w:rPr>
          <w:rFonts w:hint="eastAsia" w:ascii="Times New Roman" w:hAnsi="Times New Roman" w:eastAsia="方正仿宋_GBK" w:cs="Times New Roman"/>
          <w:b w:val="0"/>
          <w:bCs/>
          <w:sz w:val="32"/>
          <w:szCs w:val="32"/>
          <w:shd w:val="clear" w:color="auto" w:fill="FFFFFF"/>
          <w:lang w:eastAsia="zh-CN"/>
        </w:rPr>
        <w:t>本</w:t>
      </w:r>
      <w:r>
        <w:rPr>
          <w:rFonts w:hint="default" w:ascii="Times New Roman" w:hAnsi="Times New Roman" w:eastAsia="方正仿宋_GBK" w:cs="Times New Roman"/>
          <w:b w:val="0"/>
          <w:bCs/>
          <w:sz w:val="32"/>
          <w:szCs w:val="32"/>
          <w:shd w:val="clear" w:color="auto" w:fill="FFFFFF"/>
        </w:rPr>
        <w:t>单位不在机关运行经费统计范围之内。</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Times New Roman" w:hAnsi="Times New Roman" w:eastAsia="方正仿宋_GBK"/>
          <w:sz w:val="32"/>
          <w:szCs w:val="32"/>
          <w:shd w:val="clear" w:color="auto" w:fill="FFFFFF"/>
          <w:lang w:eastAsia="zh-CN"/>
        </w:rPr>
      </w:pPr>
      <w:r>
        <w:rPr>
          <w:rFonts w:hint="eastAsia" w:ascii="Times New Roman" w:hAnsi="Times New Roman" w:eastAsia="方正仿宋_GBK"/>
          <w:sz w:val="32"/>
          <w:szCs w:val="32"/>
          <w:shd w:val="clear" w:color="auto" w:fill="FFFFFF"/>
          <w:lang w:val="en-US" w:eastAsia="zh-CN"/>
        </w:rPr>
        <w:t>2024年度本单位未发生</w:t>
      </w:r>
      <w:r>
        <w:rPr>
          <w:rFonts w:hint="eastAsia" w:ascii="Times New Roman" w:hAnsi="Times New Roman" w:eastAsia="方正仿宋_GBK"/>
          <w:sz w:val="32"/>
          <w:szCs w:val="32"/>
          <w:shd w:val="clear" w:color="auto" w:fill="FFFFFF"/>
          <w:lang w:eastAsia="zh-CN"/>
        </w:rPr>
        <w:t>政府采购事项，无相关经费支出。</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五、</w:t>
      </w: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ascii="方正仿宋_GBK" w:hAnsi="方正仿宋_GBK" w:eastAsia="方正仿宋_GBK" w:cs="方正仿宋_GBK"/>
          <w:b w:val="0"/>
          <w:bCs w:val="0"/>
          <w:sz w:val="32"/>
          <w:szCs w:val="32"/>
          <w:shd w:val="clear" w:color="auto" w:fill="FFFFFF"/>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13"/>
        <w:autoSpaceDE w:val="0"/>
        <w:spacing w:line="596" w:lineRule="exact"/>
        <w:ind w:firstLine="640"/>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3"/>
        <w:autoSpaceDE w:val="0"/>
        <w:spacing w:line="596" w:lineRule="exact"/>
        <w:ind w:firstLine="640"/>
        <w:jc w:val="both"/>
        <w:rPr>
          <w:rStyle w:val="10"/>
          <w:rFonts w:ascii="方正仿宋_GBK" w:hAnsi="方正仿宋_GBK" w:eastAsia="方正仿宋_GBK" w:cs="方正仿宋_GBK"/>
          <w:sz w:val="32"/>
          <w:szCs w:val="32"/>
          <w:shd w:val="clear" w:color="auto" w:fill="FFFF00"/>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eastAsia" w:ascii="Times New Roman" w:hAnsi="Times New Roman" w:eastAsia="方正仿宋_GBK" w:cs="Times New Roman"/>
          <w:sz w:val="32"/>
          <w:szCs w:val="32"/>
          <w:shd w:val="clear" w:color="auto" w:fill="FFFFFF"/>
          <w:lang w:val="en-US" w:eastAsia="zh-CN"/>
        </w:rPr>
        <w:t xml:space="preserve"> 023-76662083</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秀山土家族苗族自治县卫生应急管理中心</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142.06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22.19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113.06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142.06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142.06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142.06</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142.06</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秀山土家族苗族自治县卫生应急管理中心</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142.06</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142.06</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7.41</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7.41</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113.06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113.06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105.80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105.80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105.80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105.80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秀山土家族苗族自治县卫生应急管理中心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142.06</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142.06</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7.41</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7.41</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113.06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113.06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105.80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105.80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105.80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105.80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5.58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秀山土家族苗族自治县卫生应急管理中心</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22.19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22.19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113.06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6.81</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142.06</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秀山土家族苗族自治县卫生应急管理中心</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142.06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142.06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22.19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7.41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7.41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113.06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113.06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105.80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105.80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105.80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105.80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5.58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6.81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秀山土家族苗族自治县卫生应急管理中心</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133.36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8.56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0.15</w:t>
            </w: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30.98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5.51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0.15</w:t>
            </w: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60.47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14.78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7.41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5.61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0.40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6.81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133.36</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8.71</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秀山土家族苗族自治县卫生应急管理中心</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备注：本表反映部门本年度政府性基金预算财政拨款收入支出及结转和结余情况。本部门无政府性基金收支，故本表无数据。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秀山土家族苗族自治县卫生应急管理中心</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秀山土家族苗族自治县卫生应急管理中心</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0.40</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B3940"/>
    <w:rsid w:val="08BA052C"/>
    <w:rsid w:val="08DB07BA"/>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497FB6"/>
    <w:rsid w:val="0F836721"/>
    <w:rsid w:val="0FA25D96"/>
    <w:rsid w:val="107B59E5"/>
    <w:rsid w:val="10EC0126"/>
    <w:rsid w:val="10F70B9A"/>
    <w:rsid w:val="111445C7"/>
    <w:rsid w:val="114278C6"/>
    <w:rsid w:val="1158083A"/>
    <w:rsid w:val="11643A4B"/>
    <w:rsid w:val="11ED0F98"/>
    <w:rsid w:val="11F03528"/>
    <w:rsid w:val="12C921C4"/>
    <w:rsid w:val="12F52ECF"/>
    <w:rsid w:val="13871C70"/>
    <w:rsid w:val="139D5716"/>
    <w:rsid w:val="13A71CB4"/>
    <w:rsid w:val="13AF1D43"/>
    <w:rsid w:val="13CE1647"/>
    <w:rsid w:val="13DA0C25"/>
    <w:rsid w:val="13FD55AB"/>
    <w:rsid w:val="14200702"/>
    <w:rsid w:val="14907817"/>
    <w:rsid w:val="163A6CEE"/>
    <w:rsid w:val="173708E3"/>
    <w:rsid w:val="174C19C7"/>
    <w:rsid w:val="17C374FC"/>
    <w:rsid w:val="189079DC"/>
    <w:rsid w:val="189B0D0B"/>
    <w:rsid w:val="18B43F7C"/>
    <w:rsid w:val="194A1770"/>
    <w:rsid w:val="19B906A4"/>
    <w:rsid w:val="1B6F15B6"/>
    <w:rsid w:val="1BAA2EDC"/>
    <w:rsid w:val="1C5C0973"/>
    <w:rsid w:val="1CA55E64"/>
    <w:rsid w:val="1D014A01"/>
    <w:rsid w:val="1D022362"/>
    <w:rsid w:val="1D1B04B0"/>
    <w:rsid w:val="1D6534C4"/>
    <w:rsid w:val="1DBD6767"/>
    <w:rsid w:val="1DC52125"/>
    <w:rsid w:val="1DD26311"/>
    <w:rsid w:val="1E374ACB"/>
    <w:rsid w:val="1E5E27E3"/>
    <w:rsid w:val="1EA33588"/>
    <w:rsid w:val="1ECF0A66"/>
    <w:rsid w:val="1EF67CA4"/>
    <w:rsid w:val="1F020D3A"/>
    <w:rsid w:val="1F2C5189"/>
    <w:rsid w:val="1F4B0B02"/>
    <w:rsid w:val="1FBB35CD"/>
    <w:rsid w:val="1FCD26AF"/>
    <w:rsid w:val="20642787"/>
    <w:rsid w:val="21556F04"/>
    <w:rsid w:val="22403BD3"/>
    <w:rsid w:val="23DA37D9"/>
    <w:rsid w:val="24B92327"/>
    <w:rsid w:val="24C14514"/>
    <w:rsid w:val="2533755C"/>
    <w:rsid w:val="25791755"/>
    <w:rsid w:val="26396DF4"/>
    <w:rsid w:val="27167136"/>
    <w:rsid w:val="27B23302"/>
    <w:rsid w:val="29310A5F"/>
    <w:rsid w:val="29C37A35"/>
    <w:rsid w:val="2A076083"/>
    <w:rsid w:val="2A73162E"/>
    <w:rsid w:val="2B167953"/>
    <w:rsid w:val="2B200583"/>
    <w:rsid w:val="2B220436"/>
    <w:rsid w:val="2B8209DE"/>
    <w:rsid w:val="2C6762A3"/>
    <w:rsid w:val="2EBF7B3E"/>
    <w:rsid w:val="2EDE1934"/>
    <w:rsid w:val="2FCA4B37"/>
    <w:rsid w:val="2FE029D7"/>
    <w:rsid w:val="2FF06E00"/>
    <w:rsid w:val="30562E26"/>
    <w:rsid w:val="30586FEC"/>
    <w:rsid w:val="30EC7046"/>
    <w:rsid w:val="315F0B22"/>
    <w:rsid w:val="319D022C"/>
    <w:rsid w:val="31C90022"/>
    <w:rsid w:val="31D84415"/>
    <w:rsid w:val="32285F6F"/>
    <w:rsid w:val="32770556"/>
    <w:rsid w:val="329C0913"/>
    <w:rsid w:val="32AA0460"/>
    <w:rsid w:val="3337290D"/>
    <w:rsid w:val="33E31118"/>
    <w:rsid w:val="33EF7674"/>
    <w:rsid w:val="342D7BC6"/>
    <w:rsid w:val="34475F39"/>
    <w:rsid w:val="34D92688"/>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CD45FD0"/>
    <w:rsid w:val="3D2757A1"/>
    <w:rsid w:val="3D3D4FC4"/>
    <w:rsid w:val="3DDF3AB1"/>
    <w:rsid w:val="3E1D0952"/>
    <w:rsid w:val="3E42660A"/>
    <w:rsid w:val="3E7555B1"/>
    <w:rsid w:val="3E787ED9"/>
    <w:rsid w:val="3ECA01E4"/>
    <w:rsid w:val="3EEC37F3"/>
    <w:rsid w:val="3F032E93"/>
    <w:rsid w:val="3F0527E5"/>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BB152F"/>
    <w:rsid w:val="44494994"/>
    <w:rsid w:val="44B96DCF"/>
    <w:rsid w:val="44C37687"/>
    <w:rsid w:val="45CB699A"/>
    <w:rsid w:val="465B470D"/>
    <w:rsid w:val="469D6AD4"/>
    <w:rsid w:val="471E6C84"/>
    <w:rsid w:val="4748792B"/>
    <w:rsid w:val="475D719D"/>
    <w:rsid w:val="47674801"/>
    <w:rsid w:val="48225EF7"/>
    <w:rsid w:val="488F422B"/>
    <w:rsid w:val="48E36915"/>
    <w:rsid w:val="495C4A24"/>
    <w:rsid w:val="497135DF"/>
    <w:rsid w:val="4A1605D9"/>
    <w:rsid w:val="4A263DF2"/>
    <w:rsid w:val="4A6F6675"/>
    <w:rsid w:val="4ABF0746"/>
    <w:rsid w:val="4B0502DF"/>
    <w:rsid w:val="4B135857"/>
    <w:rsid w:val="4B7951CB"/>
    <w:rsid w:val="4B7C315C"/>
    <w:rsid w:val="4CCF773C"/>
    <w:rsid w:val="4DAC4ACA"/>
    <w:rsid w:val="4DBE01D2"/>
    <w:rsid w:val="4EFC6D10"/>
    <w:rsid w:val="4F0C6BA3"/>
    <w:rsid w:val="4F10477D"/>
    <w:rsid w:val="4F186D58"/>
    <w:rsid w:val="4FEA65B7"/>
    <w:rsid w:val="5042146E"/>
    <w:rsid w:val="50F06B6E"/>
    <w:rsid w:val="52234D33"/>
    <w:rsid w:val="52261ABA"/>
    <w:rsid w:val="522F6E0C"/>
    <w:rsid w:val="52463BA1"/>
    <w:rsid w:val="5298794F"/>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D82B6C"/>
    <w:rsid w:val="561D52C4"/>
    <w:rsid w:val="5651697D"/>
    <w:rsid w:val="56530F5D"/>
    <w:rsid w:val="56692AE5"/>
    <w:rsid w:val="567700D3"/>
    <w:rsid w:val="56FF7E9E"/>
    <w:rsid w:val="578867FC"/>
    <w:rsid w:val="5842572D"/>
    <w:rsid w:val="5A3B59D6"/>
    <w:rsid w:val="5AD134D8"/>
    <w:rsid w:val="5B6503B1"/>
    <w:rsid w:val="5C0F7EC4"/>
    <w:rsid w:val="5C263CE4"/>
    <w:rsid w:val="5C5D2777"/>
    <w:rsid w:val="5CB70C9C"/>
    <w:rsid w:val="5CF66BF3"/>
    <w:rsid w:val="5D290C69"/>
    <w:rsid w:val="5F2D4A41"/>
    <w:rsid w:val="60C74F6C"/>
    <w:rsid w:val="60F81AB5"/>
    <w:rsid w:val="61025A59"/>
    <w:rsid w:val="613D5BBC"/>
    <w:rsid w:val="61536C39"/>
    <w:rsid w:val="61E64F4A"/>
    <w:rsid w:val="623E0993"/>
    <w:rsid w:val="62944DD7"/>
    <w:rsid w:val="6319381F"/>
    <w:rsid w:val="63236436"/>
    <w:rsid w:val="63303185"/>
    <w:rsid w:val="63C25DC5"/>
    <w:rsid w:val="63C62057"/>
    <w:rsid w:val="64571EF5"/>
    <w:rsid w:val="64CB0157"/>
    <w:rsid w:val="64FB113D"/>
    <w:rsid w:val="65036946"/>
    <w:rsid w:val="654A25FE"/>
    <w:rsid w:val="656152C6"/>
    <w:rsid w:val="6587477F"/>
    <w:rsid w:val="658C3A08"/>
    <w:rsid w:val="65C031CA"/>
    <w:rsid w:val="65CE6852"/>
    <w:rsid w:val="65EB6584"/>
    <w:rsid w:val="66267C04"/>
    <w:rsid w:val="663F505A"/>
    <w:rsid w:val="66967186"/>
    <w:rsid w:val="66EE5541"/>
    <w:rsid w:val="67924660"/>
    <w:rsid w:val="67B3608E"/>
    <w:rsid w:val="683200C2"/>
    <w:rsid w:val="68407834"/>
    <w:rsid w:val="6883293E"/>
    <w:rsid w:val="688412AD"/>
    <w:rsid w:val="68EB1B71"/>
    <w:rsid w:val="69475C96"/>
    <w:rsid w:val="6AAD2300"/>
    <w:rsid w:val="6B474EF5"/>
    <w:rsid w:val="6BBF53FD"/>
    <w:rsid w:val="6C560CAE"/>
    <w:rsid w:val="6C576495"/>
    <w:rsid w:val="6D903FF5"/>
    <w:rsid w:val="6DA955B8"/>
    <w:rsid w:val="6DE346AB"/>
    <w:rsid w:val="6DE5391A"/>
    <w:rsid w:val="6EEA5552"/>
    <w:rsid w:val="6EFD1324"/>
    <w:rsid w:val="6F5A53AC"/>
    <w:rsid w:val="6FAC003D"/>
    <w:rsid w:val="6FE55E12"/>
    <w:rsid w:val="6FFB2E76"/>
    <w:rsid w:val="708F6F7F"/>
    <w:rsid w:val="70D94BD3"/>
    <w:rsid w:val="71C34D91"/>
    <w:rsid w:val="72DB435C"/>
    <w:rsid w:val="72E2613A"/>
    <w:rsid w:val="72F771F4"/>
    <w:rsid w:val="734150D5"/>
    <w:rsid w:val="736650B0"/>
    <w:rsid w:val="73934AD2"/>
    <w:rsid w:val="750837F0"/>
    <w:rsid w:val="754758CF"/>
    <w:rsid w:val="761275E6"/>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0</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2025-10-15T02:09:03Z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