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rPr>
        <w:t>秀山土家族苗族自治县基层卫生管理中心</w:t>
      </w: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hint="eastAsia" w:ascii="方正黑体_GBK" w:hAnsi="方正黑体_GBK" w:eastAsia="方正黑体_GBK" w:cs="方正黑体_GBK"/>
          <w:b w:val="0"/>
          <w:bCs/>
          <w:sz w:val="32"/>
          <w:szCs w:val="32"/>
        </w:rPr>
      </w:pPr>
      <w:r>
        <w:rPr>
          <w:rStyle w:val="9"/>
          <w:rFonts w:hint="eastAsia" w:ascii="方正黑体_GBK" w:hAnsi="方正黑体_GBK" w:eastAsia="方正黑体_GBK" w:cs="方正黑体_GBK"/>
          <w:b w:val="0"/>
          <w:bCs/>
          <w:sz w:val="32"/>
          <w:szCs w:val="32"/>
          <w:shd w:val="clear" w:color="auto" w:fill="FFFFFF"/>
        </w:rPr>
        <w:t>一、单位基本情况</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9"/>
          <w:rFonts w:hint="eastAsia" w:ascii="方正楷体_GBK" w:hAnsi="方正楷体_GBK" w:eastAsia="方正楷体_GBK" w:cs="方正楷体_GBK"/>
          <w:b w:val="0"/>
          <w:bCs/>
          <w:sz w:val="32"/>
          <w:szCs w:val="32"/>
          <w:shd w:val="clear" w:color="auto" w:fill="FFFFFF"/>
        </w:rPr>
      </w:pPr>
      <w:r>
        <w:rPr>
          <w:rStyle w:val="9"/>
          <w:rFonts w:hint="eastAsia" w:ascii="方正楷体_GBK" w:hAnsi="方正楷体_GBK" w:eastAsia="方正楷体_GBK" w:cs="方正楷体_GBK"/>
          <w:b w:val="0"/>
          <w:bCs/>
          <w:sz w:val="32"/>
          <w:szCs w:val="32"/>
          <w:shd w:val="clear" w:color="auto" w:fill="FFFFFF"/>
        </w:rPr>
        <w:t>（一）职能职责</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Autospacing="0" w:line="560" w:lineRule="exact"/>
        <w:ind w:firstLine="640" w:firstLineChars="200"/>
        <w:jc w:val="both"/>
        <w:textAlignment w:val="auto"/>
        <w:outlineLvl w:val="9"/>
        <w:rPr>
          <w:rStyle w:val="9"/>
          <w:rFonts w:hint="eastAsia" w:ascii="方正仿宋_GBK" w:hAnsi="方正仿宋_GBK" w:eastAsia="方正仿宋_GBK" w:cs="方正仿宋_GBK"/>
          <w:b w:val="0"/>
          <w:bCs/>
          <w:sz w:val="32"/>
          <w:szCs w:val="32"/>
          <w:shd w:val="clear" w:color="auto" w:fill="FFFFFF"/>
        </w:rPr>
      </w:pPr>
      <w:r>
        <w:rPr>
          <w:rStyle w:val="9"/>
          <w:rFonts w:hint="eastAsia" w:ascii="方正仿宋_GBK" w:hAnsi="方正仿宋_GBK" w:eastAsia="方正仿宋_GBK" w:cs="方正仿宋_GBK"/>
          <w:b w:val="0"/>
          <w:bCs/>
          <w:sz w:val="32"/>
          <w:szCs w:val="32"/>
          <w:shd w:val="clear" w:color="auto" w:fill="FFFFFF"/>
        </w:rPr>
        <w:t>负责组织基层医疗机构贯彻落实有关规章和政策措施、规划标准，参与制定基层医疗机构发展规划；负责拟定基层医疗卫生机构绩效考核分配实施方案；负责乡镇卫生院和村卫生室实施国家基本药物制度补助资金的考核和资金分配；负责基层医疗卫生机构财务管理工作；负责乡村医生注册、考核、聘任等相关管理工作；负责基层医疗卫生机构便民惠民服务工作；牵头乡村振兴工作；牵头东西部协作、合川对口帮扶工作；指导基层卫生健康服务体系建设；指导村卫生室及乡村医生管理工作。</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9"/>
          <w:rFonts w:hint="eastAsia" w:ascii="方正楷体_GBK" w:hAnsi="方正楷体_GBK" w:eastAsia="方正楷体_GBK" w:cs="方正楷体_GBK"/>
          <w:b w:val="0"/>
          <w:bCs/>
          <w:sz w:val="32"/>
          <w:szCs w:val="32"/>
          <w:shd w:val="clear" w:color="auto" w:fill="FFFFFF"/>
        </w:rPr>
        <w:t>（二）机构设置</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9"/>
          <w:rFonts w:hint="eastAsia" w:ascii="方正仿宋_GBK" w:hAnsi="方正仿宋_GBK" w:eastAsia="方正仿宋_GBK" w:cs="方正仿宋_GBK"/>
          <w:b w:val="0"/>
          <w:bCs/>
          <w:sz w:val="32"/>
          <w:szCs w:val="32"/>
          <w:shd w:val="clear" w:color="auto" w:fill="FFFFFF"/>
          <w:lang w:eastAsia="zh-CN"/>
        </w:rPr>
      </w:pPr>
      <w:r>
        <w:rPr>
          <w:rStyle w:val="9"/>
          <w:rFonts w:hint="eastAsia" w:ascii="方正仿宋_GBK" w:hAnsi="方正仿宋_GBK" w:eastAsia="方正仿宋_GBK" w:cs="方正仿宋_GBK"/>
          <w:b w:val="0"/>
          <w:bCs/>
          <w:sz w:val="32"/>
          <w:szCs w:val="32"/>
          <w:shd w:val="clear" w:color="auto" w:fill="FFFFFF"/>
          <w:lang w:eastAsia="zh-CN"/>
        </w:rPr>
        <w:t>本单位为秀山土家族苗族自治县卫生健康委员会委属代管单位，是二级预算单位。</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9"/>
          <w:rFonts w:hint="default" w:ascii="黑体" w:hAnsi="黑体" w:eastAsia="黑体" w:cs="黑体"/>
          <w:b w:val="0"/>
          <w:bCs/>
          <w:sz w:val="32"/>
          <w:szCs w:val="32"/>
          <w:shd w:val="clear" w:color="auto" w:fill="FFFFFF"/>
        </w:rPr>
      </w:pPr>
      <w:r>
        <w:rPr>
          <w:rStyle w:val="9"/>
          <w:rFonts w:ascii="黑体" w:hAnsi="黑体" w:eastAsia="黑体" w:cs="黑体"/>
          <w:b w:val="0"/>
          <w:bCs/>
          <w:sz w:val="32"/>
          <w:szCs w:val="32"/>
          <w:shd w:val="clear" w:color="auto" w:fill="FFFFFF"/>
        </w:rPr>
        <w:t>二、</w:t>
      </w:r>
      <w:r>
        <w:rPr>
          <w:rStyle w:val="9"/>
          <w:rFonts w:hint="eastAsia" w:ascii="黑体" w:hAnsi="黑体" w:eastAsia="黑体" w:cs="黑体"/>
          <w:b w:val="0"/>
          <w:bCs/>
          <w:sz w:val="32"/>
          <w:szCs w:val="32"/>
          <w:shd w:val="clear" w:color="auto" w:fill="FFFFFF"/>
          <w:lang w:eastAsia="zh-CN"/>
        </w:rPr>
        <w:t>单位</w:t>
      </w:r>
      <w:r>
        <w:rPr>
          <w:rStyle w:val="9"/>
          <w:rFonts w:ascii="黑体" w:hAnsi="黑体" w:eastAsia="黑体" w:cs="黑体"/>
          <w:b w:val="0"/>
          <w:bCs/>
          <w:sz w:val="32"/>
          <w:szCs w:val="32"/>
          <w:shd w:val="clear" w:color="auto" w:fill="FFFFFF"/>
        </w:rPr>
        <w:t>决算</w:t>
      </w:r>
      <w:r>
        <w:rPr>
          <w:rStyle w:val="9"/>
          <w:rFonts w:hint="eastAsia" w:ascii="黑体" w:hAnsi="黑体" w:eastAsia="黑体" w:cs="黑体"/>
          <w:b w:val="0"/>
          <w:bCs/>
          <w:sz w:val="32"/>
          <w:szCs w:val="32"/>
          <w:shd w:val="clear" w:color="auto" w:fill="FFFFFF"/>
          <w:lang w:eastAsia="zh-CN"/>
        </w:rPr>
        <w:t>收支</w:t>
      </w:r>
      <w:r>
        <w:rPr>
          <w:rStyle w:val="9"/>
          <w:rFonts w:ascii="黑体" w:hAnsi="黑体" w:eastAsia="黑体" w:cs="黑体"/>
          <w:b w:val="0"/>
          <w:bCs/>
          <w:sz w:val="32"/>
          <w:szCs w:val="32"/>
          <w:shd w:val="clear" w:color="auto" w:fill="FFFFFF"/>
        </w:rPr>
        <w:t>情况说明</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楷体" w:hAnsi="楷体" w:eastAsia="楷体" w:cs="楷体"/>
          <w:b w:val="0"/>
          <w:bCs/>
          <w:sz w:val="32"/>
          <w:szCs w:val="32"/>
          <w:shd w:val="clear" w:color="auto" w:fill="FFFFFF"/>
        </w:rPr>
      </w:pPr>
      <w:r>
        <w:rPr>
          <w:rFonts w:hint="eastAsia" w:ascii="楷体" w:hAnsi="楷体" w:eastAsia="楷体" w:cs="楷体"/>
          <w:b w:val="0"/>
          <w:bCs/>
          <w:sz w:val="32"/>
          <w:szCs w:val="32"/>
          <w:shd w:val="clear" w:color="auto" w:fill="FFFFFF"/>
        </w:rPr>
        <w:t>（一）收入支出决算总体情况说明</w:t>
      </w:r>
    </w:p>
    <w:p>
      <w:pPr>
        <w:pStyle w:val="7"/>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auto"/>
          <w:sz w:val="32"/>
          <w:szCs w:val="32"/>
          <w:shd w:val="clear" w:color="auto" w:fill="FFFFFF"/>
          <w:lang w:eastAsia="zh-CN"/>
        </w:rPr>
      </w:pP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年度收</w:t>
      </w:r>
      <w:r>
        <w:rPr>
          <w:rFonts w:hint="eastAsia" w:ascii="方正仿宋_GBK" w:hAnsi="方正仿宋_GBK" w:eastAsia="方正仿宋_GBK" w:cs="方正仿宋_GBK"/>
          <w:b w:val="0"/>
          <w:bCs/>
          <w:color w:val="auto"/>
          <w:sz w:val="32"/>
          <w:szCs w:val="32"/>
          <w:shd w:val="clear" w:color="auto" w:fill="FFFFFF"/>
          <w:lang w:eastAsia="zh-CN"/>
        </w:rPr>
        <w:t>、支</w:t>
      </w:r>
      <w:r>
        <w:rPr>
          <w:rFonts w:ascii="方正仿宋_GBK" w:hAnsi="方正仿宋_GBK" w:eastAsia="方正仿宋_GBK" w:cs="方正仿宋_GBK"/>
          <w:b w:val="0"/>
          <w:bCs/>
          <w:color w:val="auto"/>
          <w:sz w:val="32"/>
          <w:szCs w:val="32"/>
          <w:shd w:val="clear" w:color="auto" w:fill="FFFFFF"/>
        </w:rPr>
        <w:t>总计</w:t>
      </w:r>
      <w:r>
        <w:rPr>
          <w:rFonts w:hint="eastAsia" w:ascii="方正仿宋_GBK" w:hAnsi="方正仿宋_GBK" w:eastAsia="方正仿宋_GBK" w:cs="方正仿宋_GBK"/>
          <w:b w:val="0"/>
          <w:bCs/>
          <w:color w:val="auto"/>
          <w:sz w:val="32"/>
          <w:szCs w:val="32"/>
          <w:shd w:val="clear" w:color="auto" w:fill="FFFFFF"/>
          <w:lang w:eastAsia="zh-CN"/>
        </w:rPr>
        <w:t>均为</w:t>
      </w:r>
      <w:r>
        <w:rPr>
          <w:rFonts w:hint="default" w:ascii="Times New Roman" w:hAnsi="Times New Roman" w:eastAsia="方正仿宋_GBK"/>
          <w:b w:val="0"/>
          <w:bCs/>
          <w:color w:val="auto"/>
          <w:sz w:val="32"/>
          <w:szCs w:val="32"/>
          <w:shd w:val="clear" w:color="auto" w:fill="FFFFFF"/>
        </w:rPr>
        <w:t>235.05</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收、支与2023年度相比，减少23.27万元，下降9.0%</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人员经费减少。</w:t>
      </w:r>
    </w:p>
    <w:p>
      <w:pPr>
        <w:pStyle w:val="7"/>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auto"/>
          <w:sz w:val="32"/>
          <w:szCs w:val="32"/>
          <w:shd w:val="clear" w:color="auto" w:fill="FFFFFF"/>
        </w:rPr>
      </w:pPr>
      <w:r>
        <w:rPr>
          <w:rStyle w:val="9"/>
          <w:rFonts w:hint="eastAsia" w:ascii="Times New Roman" w:hAnsi="Times New Roman" w:eastAsia="方正仿宋_GBK"/>
          <w:b w:val="0"/>
          <w:bCs/>
          <w:color w:val="auto"/>
          <w:sz w:val="32"/>
          <w:szCs w:val="32"/>
          <w:shd w:val="clear" w:color="auto" w:fill="FFFFFF"/>
          <w:lang w:val="en-US" w:eastAsia="zh-CN"/>
        </w:rPr>
        <w:t>1</w:t>
      </w:r>
      <w:r>
        <w:rPr>
          <w:rStyle w:val="9"/>
          <w:rFonts w:ascii="方正仿宋_GBK" w:hAnsi="方正仿宋_GBK" w:eastAsia="方正仿宋_GBK" w:cs="方正仿宋_GBK"/>
          <w:b w:val="0"/>
          <w:bCs/>
          <w:color w:val="auto"/>
          <w:sz w:val="32"/>
          <w:szCs w:val="32"/>
          <w:shd w:val="clear" w:color="auto" w:fill="FFFFFF"/>
        </w:rPr>
        <w:t>.收入情况。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年度收入合计</w:t>
      </w:r>
      <w:r>
        <w:rPr>
          <w:rFonts w:hint="default" w:ascii="Times New Roman" w:hAnsi="Times New Roman" w:eastAsia="方正仿宋_GBK"/>
          <w:b w:val="0"/>
          <w:bCs/>
          <w:color w:val="auto"/>
          <w:sz w:val="32"/>
          <w:szCs w:val="32"/>
          <w:shd w:val="clear" w:color="auto" w:fill="FFFFFF"/>
        </w:rPr>
        <w:t>235.05</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与2023年度相比，减少23.27万元，下降9.0%</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人员经费减少。</w:t>
      </w:r>
      <w:r>
        <w:rPr>
          <w:rFonts w:ascii="方正仿宋_GBK" w:hAnsi="方正仿宋_GBK" w:eastAsia="方正仿宋_GBK" w:cs="方正仿宋_GBK"/>
          <w:b w:val="0"/>
          <w:bCs/>
          <w:color w:val="auto"/>
          <w:sz w:val="32"/>
          <w:szCs w:val="32"/>
          <w:shd w:val="clear" w:color="auto" w:fill="FFFFFF"/>
        </w:rPr>
        <w:t>其中：财政拨款收入</w:t>
      </w:r>
      <w:r>
        <w:rPr>
          <w:rFonts w:hint="default" w:ascii="Times New Roman" w:hAnsi="Times New Roman" w:eastAsia="方正仿宋_GBK"/>
          <w:b w:val="0"/>
          <w:bCs/>
          <w:color w:val="auto"/>
          <w:sz w:val="32"/>
          <w:szCs w:val="32"/>
          <w:shd w:val="clear" w:color="auto" w:fill="FFFFFF"/>
        </w:rPr>
        <w:t>235.05</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100.0%</w:t>
      </w:r>
      <w:r>
        <w:rPr>
          <w:rFonts w:ascii="方正仿宋_GBK" w:hAnsi="方正仿宋_GBK" w:eastAsia="方正仿宋_GBK" w:cs="方正仿宋_GBK"/>
          <w:b w:val="0"/>
          <w:bCs/>
          <w:color w:val="auto"/>
          <w:sz w:val="32"/>
          <w:szCs w:val="32"/>
          <w:shd w:val="clear" w:color="auto" w:fill="FFFFFF"/>
        </w:rPr>
        <w:t>；事业收入</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；经营收入</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；其他收入</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。此外，</w:t>
      </w:r>
      <w:r>
        <w:rPr>
          <w:rFonts w:hint="eastAsia" w:ascii="方正仿宋_GBK" w:hAnsi="方正仿宋_GBK" w:eastAsia="方正仿宋_GBK" w:cs="方正仿宋_GBK"/>
          <w:b w:val="0"/>
          <w:bCs/>
          <w:color w:val="auto"/>
          <w:sz w:val="32"/>
          <w:szCs w:val="32"/>
          <w:shd w:val="clear" w:color="auto" w:fill="FFFFFF"/>
        </w:rPr>
        <w:t>使用非财政拨款结余（含专用结余）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万元，年初结转和结余</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auto"/>
          <w:sz w:val="32"/>
          <w:szCs w:val="32"/>
          <w:shd w:val="clear" w:color="auto" w:fill="FFFFFF"/>
        </w:rPr>
      </w:pPr>
      <w:r>
        <w:rPr>
          <w:rStyle w:val="9"/>
          <w:rFonts w:hint="eastAsia" w:ascii="Times New Roman" w:hAnsi="Times New Roman" w:eastAsia="方正仿宋_GBK"/>
          <w:b w:val="0"/>
          <w:bCs/>
          <w:color w:val="auto"/>
          <w:sz w:val="32"/>
          <w:szCs w:val="32"/>
          <w:shd w:val="clear" w:color="auto" w:fill="FFFFFF"/>
          <w:lang w:val="en-US" w:eastAsia="zh-CN"/>
        </w:rPr>
        <w:t>2</w:t>
      </w:r>
      <w:r>
        <w:rPr>
          <w:rStyle w:val="9"/>
          <w:rFonts w:ascii="方正仿宋_GBK" w:hAnsi="方正仿宋_GBK" w:eastAsia="方正仿宋_GBK" w:cs="方正仿宋_GBK"/>
          <w:b w:val="0"/>
          <w:bCs/>
          <w:color w:val="auto"/>
          <w:sz w:val="32"/>
          <w:szCs w:val="32"/>
          <w:shd w:val="clear" w:color="auto" w:fill="FFFFFF"/>
        </w:rPr>
        <w:t>.支出情况。</w:t>
      </w: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年度支出合计</w:t>
      </w:r>
      <w:r>
        <w:rPr>
          <w:rFonts w:hint="default" w:ascii="Times New Roman" w:hAnsi="Times New Roman" w:eastAsia="方正仿宋_GBK"/>
          <w:b w:val="0"/>
          <w:bCs/>
          <w:color w:val="auto"/>
          <w:sz w:val="32"/>
          <w:szCs w:val="32"/>
          <w:shd w:val="clear" w:color="auto" w:fill="FFFFFF"/>
        </w:rPr>
        <w:t>235.05</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与2023年度相比，减少23.27万元，下降9.0%</w:t>
      </w:r>
      <w:r>
        <w:rPr>
          <w:rFonts w:ascii="方正仿宋_GBK" w:hAnsi="方正仿宋_GBK" w:eastAsia="方正仿宋_GBK" w:cs="方正仿宋_GBK"/>
          <w:b w:val="0"/>
          <w:bCs/>
          <w:color w:val="auto"/>
          <w:sz w:val="32"/>
          <w:szCs w:val="32"/>
          <w:shd w:val="clear" w:color="auto" w:fill="FFFFFF"/>
        </w:rPr>
        <w:t>，主要原因</w:t>
      </w:r>
      <w:r>
        <w:rPr>
          <w:rFonts w:hint="eastAsia" w:ascii="方正仿宋_GBK" w:hAnsi="方正仿宋_GBK" w:eastAsia="方正仿宋_GBK" w:cs="方正仿宋_GBK"/>
          <w:b w:val="0"/>
          <w:bCs/>
          <w:color w:val="auto"/>
          <w:sz w:val="32"/>
          <w:szCs w:val="32"/>
          <w:shd w:val="clear" w:color="auto" w:fill="FFFFFF"/>
          <w:lang w:eastAsia="zh-CN"/>
        </w:rPr>
        <w:t>是人员经费减少。</w:t>
      </w:r>
      <w:r>
        <w:rPr>
          <w:rFonts w:ascii="方正仿宋_GBK" w:hAnsi="方正仿宋_GBK" w:eastAsia="方正仿宋_GBK" w:cs="方正仿宋_GBK"/>
          <w:b w:val="0"/>
          <w:bCs/>
          <w:color w:val="auto"/>
          <w:sz w:val="32"/>
          <w:szCs w:val="32"/>
          <w:shd w:val="clear" w:color="auto" w:fill="FFFFFF"/>
        </w:rPr>
        <w:t>其中：基本支出</w:t>
      </w:r>
      <w:r>
        <w:rPr>
          <w:rFonts w:hint="default" w:ascii="Times New Roman" w:hAnsi="Times New Roman" w:eastAsia="方正仿宋_GBK"/>
          <w:b w:val="0"/>
          <w:bCs/>
          <w:color w:val="auto"/>
          <w:sz w:val="32"/>
          <w:szCs w:val="32"/>
          <w:shd w:val="clear" w:color="auto" w:fill="FFFFFF"/>
        </w:rPr>
        <w:t>235.05</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100.0%</w:t>
      </w:r>
      <w:r>
        <w:rPr>
          <w:rFonts w:ascii="方正仿宋_GBK" w:hAnsi="方正仿宋_GBK" w:eastAsia="方正仿宋_GBK" w:cs="方正仿宋_GBK"/>
          <w:b w:val="0"/>
          <w:bCs/>
          <w:color w:val="auto"/>
          <w:sz w:val="32"/>
          <w:szCs w:val="32"/>
          <w:shd w:val="clear" w:color="auto" w:fill="FFFFFF"/>
        </w:rPr>
        <w:t>；项目支出</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；经营支出</w:t>
      </w:r>
      <w:r>
        <w:rPr>
          <w:rFonts w:hint="default" w:ascii="Times New Roman" w:hAnsi="Times New Roman" w:eastAsia="方正仿宋_GBK"/>
          <w:b w:val="0"/>
          <w:bCs/>
          <w:color w:val="auto"/>
          <w:sz w:val="32"/>
          <w:szCs w:val="32"/>
        </w:rPr>
        <w:t>0.00</w:t>
      </w:r>
      <w:r>
        <w:rPr>
          <w:rFonts w:ascii="方正仿宋_GBK" w:hAnsi="方正仿宋_GBK" w:eastAsia="方正仿宋_GBK" w:cs="方正仿宋_GBK"/>
          <w:b w:val="0"/>
          <w:bCs/>
          <w:color w:val="auto"/>
          <w:sz w:val="32"/>
          <w:szCs w:val="32"/>
          <w:shd w:val="clear" w:color="auto" w:fill="FFFFFF"/>
        </w:rPr>
        <w:t>万元，占</w:t>
      </w:r>
      <w:r>
        <w:rPr>
          <w:rFonts w:hint="default" w:ascii="Times New Roman" w:hAnsi="Times New Roman" w:eastAsia="方正仿宋_GBK"/>
          <w:b w:val="0"/>
          <w:bCs/>
          <w:color w:val="auto"/>
          <w:sz w:val="32"/>
          <w:szCs w:val="32"/>
          <w:shd w:val="clear" w:color="auto" w:fill="FFFFFF"/>
        </w:rPr>
        <w:t>0.0%</w:t>
      </w:r>
      <w:r>
        <w:rPr>
          <w:rFonts w:ascii="方正仿宋_GBK" w:hAnsi="方正仿宋_GBK" w:eastAsia="方正仿宋_GBK" w:cs="方正仿宋_GBK"/>
          <w:b w:val="0"/>
          <w:bCs/>
          <w:color w:val="auto"/>
          <w:sz w:val="32"/>
          <w:szCs w:val="32"/>
          <w:shd w:val="clear" w:color="auto" w:fill="FFFFFF"/>
        </w:rPr>
        <w:t>。此外，结余分配</w:t>
      </w:r>
      <w:r>
        <w:rPr>
          <w:rFonts w:hint="default" w:ascii="Times New Roman" w:hAnsi="Times New Roman" w:eastAsia="方正仿宋_GBK"/>
          <w:b w:val="0"/>
          <w:bCs/>
          <w:color w:val="auto"/>
          <w:sz w:val="32"/>
          <w:szCs w:val="32"/>
          <w:shd w:val="clear" w:color="auto" w:fill="FFFFFF"/>
        </w:rPr>
        <w:t>0.00</w:t>
      </w:r>
      <w:r>
        <w:rPr>
          <w:rFonts w:ascii="方正仿宋_GBK" w:hAnsi="方正仿宋_GBK" w:eastAsia="方正仿宋_GBK" w:cs="方正仿宋_GBK"/>
          <w:b w:val="0"/>
          <w:bCs/>
          <w:color w:val="auto"/>
          <w:sz w:val="32"/>
          <w:szCs w:val="32"/>
          <w:shd w:val="clear" w:color="auto" w:fill="FFFFFF"/>
        </w:rPr>
        <w:t>万元。</w:t>
      </w:r>
    </w:p>
    <w:p>
      <w:pPr>
        <w:pStyle w:val="7"/>
        <w:snapToGrid w:val="0"/>
        <w:spacing w:before="0" w:beforeAutospacing="0" w:after="0" w:afterAutospacing="0" w:line="596" w:lineRule="exact"/>
        <w:ind w:firstLine="640" w:firstLineChars="200"/>
        <w:jc w:val="both"/>
        <w:rPr>
          <w:rFonts w:hint="default" w:ascii="方正仿宋_GBK" w:hAnsi="方正仿宋_GBK" w:eastAsia="方正仿宋_GBK" w:cs="方正仿宋_GBK"/>
          <w:b w:val="0"/>
          <w:bCs/>
          <w:sz w:val="32"/>
          <w:szCs w:val="32"/>
        </w:rPr>
      </w:pPr>
      <w:r>
        <w:rPr>
          <w:rStyle w:val="9"/>
          <w:rFonts w:hint="eastAsia" w:ascii="Times New Roman" w:hAnsi="Times New Roman" w:eastAsia="方正仿宋_GBK"/>
          <w:b w:val="0"/>
          <w:bCs/>
          <w:sz w:val="32"/>
          <w:szCs w:val="32"/>
          <w:shd w:val="clear" w:color="auto" w:fill="FFFFFF"/>
          <w:lang w:val="en-US" w:eastAsia="zh-CN"/>
        </w:rPr>
        <w:t>3</w:t>
      </w:r>
      <w:r>
        <w:rPr>
          <w:rStyle w:val="9"/>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收支平衡、无结余。</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sz w:val="32"/>
          <w:szCs w:val="32"/>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年度财政拨款收、支总计均为</w:t>
      </w:r>
      <w:r>
        <w:rPr>
          <w:rFonts w:hint="default" w:ascii="Times New Roman" w:hAnsi="Times New Roman" w:eastAsia="方正仿宋_GBK"/>
          <w:b w:val="0"/>
          <w:bCs/>
          <w:sz w:val="32"/>
          <w:szCs w:val="32"/>
          <w:shd w:val="clear" w:color="auto" w:fill="FFFFFF"/>
        </w:rPr>
        <w:t>235.05</w:t>
      </w:r>
      <w:r>
        <w:rPr>
          <w:rFonts w:ascii="方正仿宋_GBK" w:hAnsi="方正仿宋_GBK" w:eastAsia="方正仿宋_GBK" w:cs="方正仿宋_GBK"/>
          <w:b w:val="0"/>
          <w:bCs/>
          <w:sz w:val="32"/>
          <w:szCs w:val="32"/>
          <w:shd w:val="clear" w:color="auto" w:fill="FFFFFF"/>
        </w:rPr>
        <w:t>万元。与</w:t>
      </w:r>
      <w:r>
        <w:rPr>
          <w:rFonts w:hint="default"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w:t>
      </w:r>
      <w:r>
        <w:rPr>
          <w:rFonts w:hint="eastAsia" w:ascii="方正仿宋_GBK" w:hAnsi="方正仿宋_GBK" w:eastAsia="方正仿宋_GBK" w:cs="方正仿宋_GBK"/>
          <w:b w:val="0"/>
          <w:bCs/>
          <w:sz w:val="32"/>
          <w:szCs w:val="32"/>
          <w:shd w:val="clear" w:color="auto" w:fill="FFFFFF"/>
          <w:lang w:eastAsia="zh-CN"/>
        </w:rPr>
        <w:t>度</w:t>
      </w:r>
      <w:r>
        <w:rPr>
          <w:rFonts w:ascii="方正仿宋_GBK" w:hAnsi="方正仿宋_GBK" w:eastAsia="方正仿宋_GBK" w:cs="方正仿宋_GBK"/>
          <w:b w:val="0"/>
          <w:bCs/>
          <w:sz w:val="32"/>
          <w:szCs w:val="32"/>
          <w:shd w:val="clear" w:color="auto" w:fill="FFFFFF"/>
        </w:rPr>
        <w:t>相比，</w:t>
      </w:r>
      <w:r>
        <w:rPr>
          <w:rFonts w:hint="default" w:ascii="Times New Roman" w:hAnsi="Times New Roman" w:eastAsia="方正仿宋_GBK"/>
          <w:b w:val="0"/>
          <w:bCs/>
          <w:sz w:val="32"/>
          <w:szCs w:val="32"/>
          <w:shd w:val="clear" w:color="auto" w:fill="FFFFFF"/>
        </w:rPr>
        <w:t>财政拨款收、支总计各减少23.27万元，下降9.0%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人员经费减少。</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sz w:val="32"/>
          <w:szCs w:val="32"/>
        </w:rPr>
      </w:pPr>
      <w:r>
        <w:rPr>
          <w:rStyle w:val="9"/>
          <w:rFonts w:hint="default" w:ascii="Times New Roman" w:hAnsi="Times New Roman" w:eastAsia="方正仿宋_GBK"/>
          <w:b w:val="0"/>
          <w:bCs/>
          <w:sz w:val="32"/>
          <w:szCs w:val="32"/>
          <w:shd w:val="clear" w:color="auto" w:fill="FFFFFF"/>
        </w:rPr>
        <w:t>1</w:t>
      </w:r>
      <w:r>
        <w:rPr>
          <w:rStyle w:val="9"/>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235.05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与2023年度相比，减少23.27万元，下降9.0%</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人员经费减少。</w:t>
      </w:r>
      <w:r>
        <w:rPr>
          <w:rFonts w:hint="default" w:ascii="Times New Roman" w:hAnsi="Times New Roman" w:eastAsia="方正仿宋_GBK"/>
          <w:b w:val="0"/>
          <w:bCs/>
          <w:sz w:val="32"/>
          <w:szCs w:val="32"/>
          <w:shd w:val="clear" w:color="auto" w:fill="FFFFFF"/>
        </w:rPr>
        <w:t>较年初预算数增加24.05万元，增长11.4%</w:t>
      </w:r>
      <w:r>
        <w:rPr>
          <w:rFonts w:ascii="方正仿宋_GBK" w:hAnsi="方正仿宋_GBK" w:eastAsia="方正仿宋_GBK" w:cs="方正仿宋_GBK"/>
          <w:b w:val="0"/>
          <w:bCs/>
          <w:sz w:val="32"/>
          <w:szCs w:val="32"/>
          <w:shd w:val="clear" w:color="auto" w:fill="FFFFFF"/>
        </w:rPr>
        <w:t>。主要原因是</w:t>
      </w:r>
      <w:r>
        <w:rPr>
          <w:rStyle w:val="9"/>
          <w:rFonts w:hint="default" w:ascii="Times New Roman" w:hAnsi="Times New Roman" w:eastAsia="方正仿宋_GBK" w:cs="Times New Roman"/>
          <w:b w:val="0"/>
          <w:bCs/>
          <w:sz w:val="32"/>
          <w:szCs w:val="32"/>
          <w:shd w:val="clear" w:color="auto" w:fill="FFFFFF"/>
          <w:lang w:eastAsia="zh-CN"/>
        </w:rPr>
        <w:t>本单位收入来源于财政实际拨款。</w:t>
      </w:r>
      <w:r>
        <w:rPr>
          <w:rFonts w:ascii="方正仿宋_GBK" w:hAnsi="方正仿宋_GBK" w:eastAsia="方正仿宋_GBK" w:cs="方正仿宋_GBK"/>
          <w:b w:val="0"/>
          <w:bCs/>
          <w:sz w:val="32"/>
          <w:szCs w:val="32"/>
          <w:shd w:val="clear" w:color="auto" w:fill="FFFFFF"/>
        </w:rPr>
        <w:t>此外，年初财政拨款结转和结余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Style w:val="9"/>
          <w:rFonts w:hint="default" w:ascii="Times New Roman" w:hAnsi="Times New Roman" w:eastAsia="方正仿宋_GBK"/>
          <w:b w:val="0"/>
          <w:bCs/>
          <w:sz w:val="32"/>
          <w:szCs w:val="32"/>
          <w:shd w:val="clear" w:color="auto" w:fill="FFFFFF"/>
        </w:rPr>
        <w:t>2</w:t>
      </w:r>
      <w:r>
        <w:rPr>
          <w:rStyle w:val="9"/>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hint="default" w:ascii="Times New Roman" w:hAnsi="Times New Roman" w:eastAsia="方正仿宋_GBK"/>
          <w:b w:val="0"/>
          <w:bCs/>
          <w:sz w:val="32"/>
          <w:szCs w:val="32"/>
          <w:shd w:val="clear" w:color="auto" w:fill="FFFFFF"/>
        </w:rPr>
        <w:t>235.05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与2023年度相比，减少23.27万元，下降9.0%</w:t>
      </w:r>
      <w:r>
        <w:rPr>
          <w:rFonts w:ascii="方正仿宋_GBK" w:hAnsi="方正仿宋_GBK" w:eastAsia="方正仿宋_GBK" w:cs="方正仿宋_GBK"/>
          <w:b w:val="0"/>
          <w:bCs/>
          <w:sz w:val="32"/>
          <w:szCs w:val="32"/>
          <w:shd w:val="clear" w:color="auto" w:fill="FFFFFF"/>
        </w:rPr>
        <w:t>。主要原因</w:t>
      </w:r>
      <w:r>
        <w:rPr>
          <w:rFonts w:ascii="方正仿宋_GBK" w:hAnsi="方正仿宋_GBK" w:eastAsia="方正仿宋_GBK" w:cs="方正仿宋_GBK"/>
          <w:b w:val="0"/>
          <w:bCs/>
          <w:color w:val="auto"/>
          <w:sz w:val="32"/>
          <w:szCs w:val="32"/>
          <w:shd w:val="clear" w:color="auto" w:fill="FFFFFF"/>
        </w:rPr>
        <w:t>是</w:t>
      </w:r>
      <w:r>
        <w:rPr>
          <w:rFonts w:hint="eastAsia" w:ascii="方正仿宋_GBK" w:hAnsi="方正仿宋_GBK" w:eastAsia="方正仿宋_GBK" w:cs="方正仿宋_GBK"/>
          <w:b w:val="0"/>
          <w:bCs/>
          <w:color w:val="auto"/>
          <w:sz w:val="32"/>
          <w:szCs w:val="32"/>
          <w:shd w:val="clear" w:color="auto" w:fill="FFFFFF"/>
          <w:lang w:eastAsia="zh-CN"/>
        </w:rPr>
        <w:t>人员经费减少。</w:t>
      </w:r>
      <w:r>
        <w:rPr>
          <w:rFonts w:hint="default" w:ascii="Times New Roman" w:hAnsi="Times New Roman" w:eastAsia="方正仿宋_GBK"/>
          <w:b w:val="0"/>
          <w:bCs/>
          <w:color w:val="auto"/>
          <w:sz w:val="32"/>
          <w:szCs w:val="32"/>
          <w:shd w:val="clear" w:color="auto" w:fill="FFFFFF"/>
        </w:rPr>
        <w:t>较</w:t>
      </w:r>
      <w:r>
        <w:rPr>
          <w:rFonts w:hint="default" w:ascii="Times New Roman" w:hAnsi="Times New Roman" w:eastAsia="方正仿宋_GBK"/>
          <w:b w:val="0"/>
          <w:bCs/>
          <w:sz w:val="32"/>
          <w:szCs w:val="32"/>
          <w:shd w:val="clear" w:color="auto" w:fill="FFFFFF"/>
        </w:rPr>
        <w:t>年初预算数增加24.05万元，增长11.4%</w:t>
      </w:r>
      <w:r>
        <w:rPr>
          <w:rFonts w:ascii="方正仿宋_GBK" w:hAnsi="方正仿宋_GBK" w:eastAsia="方正仿宋_GBK" w:cs="方正仿宋_GBK"/>
          <w:b w:val="0"/>
          <w:bCs/>
          <w:sz w:val="32"/>
          <w:szCs w:val="32"/>
          <w:shd w:val="clear" w:color="auto" w:fill="FFFFFF"/>
        </w:rPr>
        <w:t>。主要原因是</w:t>
      </w:r>
      <w:r>
        <w:rPr>
          <w:rStyle w:val="9"/>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sz w:val="32"/>
          <w:szCs w:val="32"/>
          <w:highlight w:val="none"/>
          <w:shd w:val="clear" w:color="auto" w:fill="FFFFFF"/>
        </w:rPr>
      </w:pPr>
      <w:r>
        <w:rPr>
          <w:rFonts w:hint="default" w:ascii="Times New Roman" w:hAnsi="Times New Roman" w:eastAsia="方正仿宋_GBK" w:cs="Times New Roman"/>
          <w:b w:val="0"/>
          <w:bCs/>
          <w:sz w:val="32"/>
          <w:szCs w:val="32"/>
          <w:highlight w:val="none"/>
          <w:shd w:val="clear" w:color="auto" w:fill="FFFFFF"/>
        </w:rPr>
        <w:t>一般公共预算财政拨款支出主要</w:t>
      </w:r>
      <w:r>
        <w:rPr>
          <w:rFonts w:hint="default" w:ascii="Times New Roman" w:hAnsi="Times New Roman" w:eastAsia="方正仿宋_GBK" w:cs="Times New Roman"/>
          <w:b w:val="0"/>
          <w:bCs/>
          <w:sz w:val="32"/>
          <w:szCs w:val="32"/>
          <w:highlight w:val="none"/>
          <w:shd w:val="clear" w:color="auto" w:fill="FFFFFF"/>
          <w:lang w:eastAsia="zh-CN"/>
        </w:rPr>
        <w:t>用途如下</w:t>
      </w:r>
      <w:r>
        <w:rPr>
          <w:rFonts w:hint="default" w:ascii="Times New Roman" w:hAnsi="Times New Roman" w:eastAsia="方正仿宋_GBK" w:cs="Times New Roman"/>
          <w:b w:val="0"/>
          <w:bCs/>
          <w:sz w:val="32"/>
          <w:szCs w:val="32"/>
          <w:highlight w:val="none"/>
          <w:shd w:val="clear" w:color="auto" w:fill="FFFFFF"/>
        </w:rPr>
        <w:t>：</w:t>
      </w:r>
    </w:p>
    <w:p>
      <w:pPr>
        <w:pStyle w:val="7"/>
        <w:keepNext w:val="0"/>
        <w:keepLines w:val="0"/>
        <w:pageBreakBefore w:val="0"/>
        <w:widowControl/>
        <w:numPr>
          <w:ilvl w:val="0"/>
          <w:numId w:val="0"/>
        </w:numPr>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Style w:val="9"/>
          <w:rFonts w:hint="default" w:ascii="Times New Roman" w:hAnsi="Times New Roman" w:eastAsia="方正仿宋_GBK" w:cs="Times New Roman"/>
          <w:b w:val="0"/>
          <w:bCs/>
          <w:sz w:val="32"/>
          <w:szCs w:val="32"/>
          <w:shd w:val="clear" w:color="auto" w:fill="FFFFFF"/>
          <w:lang w:eastAsia="zh-CN"/>
        </w:rPr>
      </w:pPr>
      <w:r>
        <w:rPr>
          <w:rFonts w:hint="eastAsia" w:ascii="Times New Roman" w:hAnsi="Times New Roman" w:eastAsia="方正仿宋_GBK" w:cs="Times New Roman"/>
          <w:b w:val="0"/>
          <w:bCs/>
          <w:sz w:val="32"/>
          <w:szCs w:val="32"/>
          <w:shd w:val="clear" w:color="auto" w:fill="FFFFFF"/>
          <w:lang w:eastAsia="zh-CN"/>
        </w:rPr>
        <w:t>（</w:t>
      </w:r>
      <w:r>
        <w:rPr>
          <w:rFonts w:hint="eastAsia" w:ascii="Times New Roman" w:hAnsi="Times New Roman" w:eastAsia="方正仿宋_GBK" w:cs="Times New Roman"/>
          <w:b w:val="0"/>
          <w:bCs/>
          <w:sz w:val="32"/>
          <w:szCs w:val="32"/>
          <w:shd w:val="clear" w:color="auto" w:fill="FFFFFF"/>
          <w:lang w:val="en-US" w:eastAsia="zh-CN"/>
        </w:rPr>
        <w:t>1</w:t>
      </w:r>
      <w:r>
        <w:rPr>
          <w:rFonts w:hint="eastAsia" w:ascii="Times New Roman" w:hAnsi="Times New Roman" w:eastAsia="方正仿宋_GBK" w:cs="Times New Roman"/>
          <w:b w:val="0"/>
          <w:bCs/>
          <w:sz w:val="32"/>
          <w:szCs w:val="32"/>
          <w:shd w:val="clear" w:color="auto" w:fill="FFFFFF"/>
          <w:lang w:eastAsia="zh-CN"/>
        </w:rPr>
        <w:t>）</w:t>
      </w:r>
      <w:r>
        <w:rPr>
          <w:rFonts w:hint="default" w:ascii="Times New Roman" w:hAnsi="Times New Roman" w:eastAsia="方正仿宋_GBK" w:cs="Times New Roman"/>
          <w:b w:val="0"/>
          <w:bCs/>
          <w:sz w:val="32"/>
          <w:szCs w:val="32"/>
          <w:shd w:val="clear" w:color="auto" w:fill="FFFFFF"/>
        </w:rPr>
        <w:t>社会保障</w:t>
      </w:r>
      <w:r>
        <w:rPr>
          <w:rFonts w:hint="default" w:ascii="Times New Roman" w:hAnsi="Times New Roman" w:eastAsia="方正仿宋_GBK" w:cs="Times New Roman"/>
          <w:b w:val="0"/>
          <w:bCs/>
          <w:sz w:val="32"/>
          <w:szCs w:val="32"/>
          <w:shd w:val="clear" w:color="auto" w:fill="FFFFFF"/>
          <w:lang w:eastAsia="zh-CN"/>
        </w:rPr>
        <w:t>和</w:t>
      </w:r>
      <w:r>
        <w:rPr>
          <w:rFonts w:hint="default" w:ascii="Times New Roman" w:hAnsi="Times New Roman" w:eastAsia="方正仿宋_GBK" w:cs="Times New Roman"/>
          <w:b w:val="0"/>
          <w:bCs/>
          <w:sz w:val="32"/>
          <w:szCs w:val="32"/>
          <w:shd w:val="clear" w:color="auto" w:fill="FFFFFF"/>
        </w:rPr>
        <w:t>就业支出33.45万元，占14.2%，较年初预算数增加11.19万元，增长50.3%，</w:t>
      </w:r>
      <w:r>
        <w:rPr>
          <w:rFonts w:ascii="方正仿宋_GBK" w:hAnsi="方正仿宋_GBK" w:eastAsia="方正仿宋_GBK" w:cs="方正仿宋_GBK"/>
          <w:sz w:val="32"/>
          <w:szCs w:val="32"/>
          <w:shd w:val="clear" w:color="auto" w:fill="FFFFFF"/>
        </w:rPr>
        <w:t>主要原因是</w:t>
      </w:r>
      <w:r>
        <w:rPr>
          <w:rStyle w:val="9"/>
          <w:rFonts w:hint="default" w:ascii="Times New Roman" w:hAnsi="Times New Roman" w:eastAsia="方正仿宋_GBK" w:cs="Times New Roman"/>
          <w:b w:val="0"/>
          <w:bCs/>
          <w:sz w:val="32"/>
          <w:szCs w:val="32"/>
          <w:shd w:val="clear" w:color="auto" w:fill="FFFFFF"/>
          <w:lang w:eastAsia="zh-CN"/>
        </w:rPr>
        <w:t>社保基数每年有调整，本单位支出来源于财政实际拨款。</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2</w:t>
      </w:r>
      <w:r>
        <w:rPr>
          <w:rFonts w:hint="default" w:ascii="Times New Roman" w:hAnsi="Times New Roman" w:eastAsia="方正仿宋_GBK" w:cs="Times New Roman"/>
          <w:b w:val="0"/>
          <w:bCs/>
          <w:sz w:val="32"/>
          <w:szCs w:val="32"/>
          <w:shd w:val="clear" w:color="auto" w:fill="FFFFFF"/>
        </w:rPr>
        <w:t>）卫生健康支出190.41万元，占81.0%，较年初预算数增加12.80万元，增长7.2%，主要原因是</w:t>
      </w:r>
      <w:r>
        <w:rPr>
          <w:rStyle w:val="9"/>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w:t>
      </w:r>
      <w:r>
        <w:rPr>
          <w:rFonts w:hint="default" w:ascii="Times New Roman" w:hAnsi="Times New Roman" w:eastAsia="方正仿宋_GBK" w:cs="Times New Roman"/>
          <w:b w:val="0"/>
          <w:bCs/>
          <w:sz w:val="32"/>
          <w:szCs w:val="32"/>
        </w:rPr>
        <w:t>住房保障支出</w:t>
      </w:r>
      <w:r>
        <w:rPr>
          <w:rFonts w:hint="default" w:ascii="Times New Roman" w:hAnsi="Times New Roman" w:eastAsia="方正仿宋_GBK" w:cs="Times New Roman"/>
          <w:b w:val="0"/>
          <w:bCs/>
          <w:sz w:val="32"/>
          <w:szCs w:val="32"/>
          <w:shd w:val="clear" w:color="auto" w:fill="FFFFFF"/>
        </w:rPr>
        <w:t>11.19万元，占4.8%，较年初预算数增加0.06万元，增长0.5%，主要原因是</w:t>
      </w:r>
      <w:r>
        <w:rPr>
          <w:rStyle w:val="9"/>
          <w:rFonts w:hint="default" w:ascii="Times New Roman" w:hAnsi="Times New Roman" w:eastAsia="方正仿宋_GBK" w:cs="Times New Roman"/>
          <w:b w:val="0"/>
          <w:bCs/>
          <w:sz w:val="32"/>
          <w:szCs w:val="32"/>
          <w:shd w:val="clear" w:color="auto" w:fill="FFFFFF"/>
          <w:lang w:eastAsia="zh-CN"/>
        </w:rPr>
        <w:t>本单位支出来源于财政实际拨款。</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eastAsia" w:ascii="方正仿宋_GBK" w:hAnsi="方正仿宋_GBK" w:eastAsia="方正仿宋_GBK" w:cs="方正仿宋_GBK"/>
          <w:b w:val="0"/>
          <w:bCs/>
          <w:color w:val="FF0000"/>
          <w:sz w:val="32"/>
          <w:szCs w:val="32"/>
          <w:shd w:val="clear" w:color="auto" w:fill="FFFFFF"/>
          <w:lang w:eastAsia="zh-CN"/>
        </w:rPr>
      </w:pPr>
      <w:r>
        <w:rPr>
          <w:rStyle w:val="9"/>
          <w:rFonts w:hint="default" w:ascii="Times New Roman" w:hAnsi="Times New Roman" w:eastAsia="方正仿宋_GBK"/>
          <w:b w:val="0"/>
          <w:bCs/>
          <w:sz w:val="32"/>
          <w:szCs w:val="32"/>
          <w:shd w:val="clear" w:color="auto" w:fill="FFFFFF"/>
        </w:rPr>
        <w:t>3</w:t>
      </w:r>
      <w:r>
        <w:rPr>
          <w:rStyle w:val="9"/>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年度年末一般公共预算财政拨款结转和结余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收支平衡，无结余。</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（四）一般公共预算财政拨款基本支出决算情况说明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sz w:val="32"/>
          <w:szCs w:val="32"/>
          <w:shd w:val="clear" w:color="auto" w:fill="FFFFFF"/>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年度一般公共财政拨款基本支出</w:t>
      </w:r>
      <w:r>
        <w:rPr>
          <w:rFonts w:hint="default" w:ascii="Times New Roman" w:hAnsi="Times New Roman" w:eastAsia="方正仿宋_GBK"/>
          <w:b w:val="0"/>
          <w:bCs/>
          <w:sz w:val="32"/>
          <w:szCs w:val="32"/>
          <w:shd w:val="clear" w:color="auto" w:fill="FFFFFF"/>
        </w:rPr>
        <w:t>235.05</w:t>
      </w:r>
      <w:r>
        <w:rPr>
          <w:rFonts w:ascii="方正仿宋_GBK" w:hAnsi="方正仿宋_GBK" w:eastAsia="方正仿宋_GBK" w:cs="方正仿宋_GBK"/>
          <w:b w:val="0"/>
          <w:bCs/>
          <w:sz w:val="32"/>
          <w:szCs w:val="32"/>
          <w:shd w:val="clear" w:color="auto" w:fill="FFFFFF"/>
        </w:rPr>
        <w:t>万元。</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0" w:firstLineChars="0"/>
        <w:jc w:val="both"/>
        <w:textAlignment w:val="auto"/>
        <w:outlineLvl w:val="9"/>
        <w:rPr>
          <w:rFonts w:ascii="方正仿宋_GBK" w:hAnsi="方正仿宋_GBK" w:eastAsia="方正仿宋_GBK" w:cs="方正仿宋_GBK"/>
          <w:b w:val="0"/>
          <w:bCs/>
          <w:sz w:val="32"/>
          <w:szCs w:val="32"/>
          <w:shd w:val="clear" w:color="auto" w:fill="FFFFFF"/>
        </w:rPr>
      </w:pPr>
      <w:r>
        <w:rPr>
          <w:rFonts w:ascii="方正仿宋_GBK" w:hAnsi="方正仿宋_GBK" w:eastAsia="方正仿宋_GBK" w:cs="方正仿宋_GBK"/>
          <w:b w:val="0"/>
          <w:bCs/>
          <w:sz w:val="32"/>
          <w:szCs w:val="32"/>
          <w:shd w:val="clear" w:color="auto" w:fill="FFFFFF"/>
        </w:rPr>
        <w:t>其中：</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none"/>
          <w:shd w:val="clear" w:color="auto" w:fill="FFFFFF"/>
          <w:lang w:eastAsia="zh-CN"/>
        </w:rPr>
      </w:pPr>
      <w:r>
        <w:rPr>
          <w:rFonts w:hint="default" w:ascii="Times New Roman" w:hAnsi="Times New Roman" w:eastAsia="方正仿宋_GBK" w:cs="Times New Roman"/>
          <w:b w:val="0"/>
          <w:bCs/>
          <w:color w:val="auto"/>
          <w:sz w:val="32"/>
          <w:szCs w:val="32"/>
          <w:shd w:val="clear" w:color="auto" w:fill="FFFFFF"/>
        </w:rPr>
        <w:t>人员经费219.84万元，与2023年度相比，减少20.74万元，下降8.6%，主要原因是</w:t>
      </w:r>
      <w:r>
        <w:rPr>
          <w:rFonts w:hint="default" w:ascii="Times New Roman" w:hAnsi="Times New Roman" w:eastAsia="方正仿宋_GBK" w:cs="Times New Roman"/>
          <w:b w:val="0"/>
          <w:bCs/>
          <w:color w:val="auto"/>
          <w:sz w:val="32"/>
          <w:szCs w:val="32"/>
          <w:shd w:val="clear" w:color="auto" w:fill="FFFFFF"/>
          <w:lang w:val="en-US" w:eastAsia="zh-CN"/>
        </w:rPr>
        <w:t>2023年度补缴以前年度公积金等。</w:t>
      </w:r>
      <w:r>
        <w:rPr>
          <w:rFonts w:hint="default" w:ascii="Times New Roman" w:hAnsi="Times New Roman" w:eastAsia="方正仿宋_GBK" w:cs="Times New Roman"/>
          <w:b w:val="0"/>
          <w:bCs/>
          <w:color w:val="auto"/>
          <w:sz w:val="32"/>
          <w:szCs w:val="32"/>
          <w:shd w:val="clear" w:color="auto" w:fill="FFFFFF"/>
        </w:rPr>
        <w:t>人员经费用途主要包括</w:t>
      </w:r>
      <w:r>
        <w:rPr>
          <w:rFonts w:hint="default" w:ascii="Times New Roman" w:hAnsi="Times New Roman" w:eastAsia="方正仿宋_GBK" w:cs="Times New Roman"/>
          <w:color w:val="auto"/>
          <w:sz w:val="32"/>
          <w:szCs w:val="32"/>
          <w:highlight w:val="none"/>
          <w:shd w:val="clear" w:color="auto" w:fill="FFFFFF"/>
          <w:lang w:eastAsia="zh-CN"/>
        </w:rPr>
        <w:t>基本工资、绩效工资、津贴补贴、社会保障等。</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公用经费</w:t>
      </w:r>
      <w:r>
        <w:rPr>
          <w:rFonts w:hint="default" w:ascii="Times New Roman" w:hAnsi="Times New Roman" w:eastAsia="方正仿宋_GBK"/>
          <w:b w:val="0"/>
          <w:bCs/>
          <w:sz w:val="32"/>
          <w:szCs w:val="32"/>
          <w:shd w:val="clear" w:color="auto" w:fill="FFFFFF"/>
        </w:rPr>
        <w:t>15.21</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与2023年度相比，减少2.53万元，下降14.3%</w:t>
      </w:r>
      <w:r>
        <w:rPr>
          <w:rFonts w:ascii="方正仿宋_GBK" w:hAnsi="方正仿宋_GBK" w:eastAsia="方正仿宋_GBK" w:cs="方正仿宋_GBK"/>
          <w:b w:val="0"/>
          <w:bCs/>
          <w:sz w:val="32"/>
          <w:szCs w:val="32"/>
          <w:shd w:val="clear" w:color="auto" w:fill="FFFFFF"/>
        </w:rPr>
        <w:t>，主要原因</w:t>
      </w:r>
      <w:r>
        <w:rPr>
          <w:rFonts w:ascii="方正仿宋_GBK" w:hAnsi="方正仿宋_GBK" w:eastAsia="方正仿宋_GBK" w:cs="方正仿宋_GBK"/>
          <w:b w:val="0"/>
          <w:bCs/>
          <w:color w:val="auto"/>
          <w:sz w:val="32"/>
          <w:szCs w:val="32"/>
          <w:shd w:val="clear" w:color="auto" w:fill="FFFFFF"/>
        </w:rPr>
        <w:t>是</w:t>
      </w:r>
      <w:r>
        <w:rPr>
          <w:rFonts w:hint="eastAsia" w:ascii="方正仿宋_GBK" w:hAnsi="方正仿宋_GBK" w:eastAsia="方正仿宋_GBK" w:cs="方正仿宋_GBK"/>
          <w:b w:val="0"/>
          <w:bCs/>
          <w:color w:val="auto"/>
          <w:sz w:val="32"/>
          <w:szCs w:val="32"/>
          <w:shd w:val="clear" w:color="auto" w:fill="FFFFFF"/>
          <w:lang w:eastAsia="zh-CN"/>
        </w:rPr>
        <w:t>办公费减少。</w:t>
      </w:r>
      <w:r>
        <w:rPr>
          <w:rFonts w:ascii="方正仿宋_GBK" w:hAnsi="方正仿宋_GBK" w:eastAsia="方正仿宋_GBK" w:cs="方正仿宋_GBK"/>
          <w:b w:val="0"/>
          <w:bCs/>
          <w:sz w:val="32"/>
          <w:szCs w:val="32"/>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办公费、水费、电费、差旅费等。</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（五）政府性基金预算收支决算情况说明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color w:val="FF0000"/>
          <w:sz w:val="32"/>
          <w:szCs w:val="32"/>
          <w:shd w:val="clear" w:color="auto" w:fill="FFFFFF"/>
        </w:rPr>
      </w:pPr>
      <w:r>
        <w:rPr>
          <w:rFonts w:hint="default" w:ascii="Times New Roman" w:hAnsi="Times New Roman" w:eastAsia="方正仿宋_GBK" w:cs="Times New Roman"/>
          <w:color w:val="auto"/>
          <w:sz w:val="32"/>
          <w:szCs w:val="32"/>
          <w:highlight w:val="none"/>
          <w:shd w:val="clear" w:color="auto" w:fill="FFFFFF"/>
        </w:rPr>
        <w:t>本</w:t>
      </w:r>
      <w:r>
        <w:rPr>
          <w:rFonts w:hint="default"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2024年度无政府性基金预算财政拨款收支。</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color w:val="auto"/>
          <w:sz w:val="32"/>
          <w:szCs w:val="32"/>
          <w:highlight w:val="none"/>
          <w:shd w:val="clear" w:color="auto" w:fill="FFFFFF"/>
        </w:rPr>
      </w:pPr>
      <w:r>
        <w:rPr>
          <w:rFonts w:hint="eastAsia" w:ascii="方正楷体_GBK" w:hAnsi="方正楷体_GBK" w:eastAsia="方正楷体_GBK" w:cs="方正楷体_GBK"/>
          <w:b w:val="0"/>
          <w:bCs w:val="0"/>
          <w:color w:val="auto"/>
          <w:sz w:val="32"/>
          <w:szCs w:val="32"/>
          <w:highlight w:val="none"/>
          <w:shd w:val="clear" w:color="auto" w:fill="FFFFFF"/>
        </w:rPr>
        <w:t>（六）国有资本经营预算财政拨款支出决算情况说明</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left="638" w:leftChars="266" w:firstLine="0" w:firstLineChars="0"/>
        <w:textAlignment w:val="auto"/>
        <w:rPr>
          <w:rFonts w:hint="default" w:ascii="Times New Roman" w:hAnsi="Times New Roman" w:eastAsia="方正仿宋_GBK" w:cs="Times New Roman"/>
          <w:color w:val="auto"/>
          <w:sz w:val="32"/>
          <w:szCs w:val="32"/>
          <w:highlight w:val="none"/>
          <w:shd w:val="clear" w:color="auto" w:fill="FFFFFF"/>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9"/>
          <w:rFonts w:hint="eastAsia" w:ascii="方正黑体_GBK" w:hAnsi="方正黑体_GBK" w:eastAsia="方正黑体_GBK" w:cs="方正黑体_GBK"/>
          <w:b w:val="0"/>
          <w:bCs/>
          <w:sz w:val="32"/>
          <w:szCs w:val="32"/>
          <w:shd w:val="clear" w:color="auto" w:fill="FFFFFF"/>
        </w:rPr>
      </w:pPr>
      <w:r>
        <w:rPr>
          <w:rStyle w:val="9"/>
          <w:rFonts w:hint="eastAsia" w:ascii="方正黑体_GBK" w:hAnsi="方正黑体_GBK" w:eastAsia="方正黑体_GBK" w:cs="方正黑体_GBK"/>
          <w:b w:val="0"/>
          <w:bCs/>
          <w:sz w:val="32"/>
          <w:szCs w:val="32"/>
          <w:shd w:val="clear" w:color="auto" w:fill="FFFFFF"/>
        </w:rPr>
        <w:t>三、</w:t>
      </w:r>
      <w:r>
        <w:rPr>
          <w:rStyle w:val="9"/>
          <w:rFonts w:hint="eastAsia" w:ascii="方正黑体_GBK" w:hAnsi="方正黑体_GBK" w:eastAsia="方正黑体_GBK" w:cs="方正黑体_GBK"/>
          <w:b w:val="0"/>
          <w:bCs/>
          <w:sz w:val="32"/>
          <w:szCs w:val="32"/>
          <w:shd w:val="clear" w:color="auto" w:fill="FFFFFF"/>
          <w:lang w:eastAsia="zh-CN"/>
        </w:rPr>
        <w:t>财政拨款</w:t>
      </w:r>
      <w:r>
        <w:rPr>
          <w:rStyle w:val="9"/>
          <w:rFonts w:hint="eastAsia" w:ascii="方正黑体_GBK" w:hAnsi="方正黑体_GBK" w:eastAsia="方正黑体_GBK" w:cs="方正黑体_GBK"/>
          <w:b w:val="0"/>
          <w:bCs/>
          <w:sz w:val="32"/>
          <w:szCs w:val="32"/>
          <w:shd w:val="clear" w:color="auto" w:fill="FFFFFF"/>
        </w:rPr>
        <w:t>“三公”经费情况说明</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sz w:val="32"/>
          <w:szCs w:val="32"/>
          <w:shd w:val="clear" w:color="auto" w:fill="FFFFFF"/>
          <w:lang w:eastAsia="zh-CN"/>
        </w:rPr>
      </w:pPr>
      <w:r>
        <w:rPr>
          <w:rFonts w:hint="default" w:ascii="Times New Roman" w:hAnsi="Times New Roman" w:eastAsia="方正仿宋_GBK" w:cs="Times New Roman"/>
          <w:b w:val="0"/>
          <w:bCs/>
          <w:sz w:val="32"/>
          <w:szCs w:val="32"/>
          <w:shd w:val="clear" w:color="auto" w:fill="FFFFFF"/>
          <w:lang w:eastAsia="zh-CN"/>
        </w:rPr>
        <w:t>本单位为委属代管单位，</w:t>
      </w:r>
      <w:r>
        <w:rPr>
          <w:rFonts w:hint="eastAsia" w:ascii="Times New Roman" w:hAnsi="Times New Roman" w:eastAsia="方正仿宋_GBK" w:cs="Times New Roman"/>
          <w:b w:val="0"/>
          <w:bCs/>
          <w:sz w:val="32"/>
          <w:szCs w:val="32"/>
          <w:shd w:val="clear" w:color="auto" w:fill="FFFFFF"/>
          <w:lang w:eastAsia="zh-CN"/>
        </w:rPr>
        <w:t>未使用财政资金保障“三公经费”。</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sz w:val="32"/>
          <w:szCs w:val="32"/>
          <w:shd w:val="clear" w:color="auto" w:fill="FFFFFF"/>
        </w:rPr>
        <w:t>202</w:t>
      </w:r>
      <w:r>
        <w:rPr>
          <w:rFonts w:hint="eastAsia"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Fonts w:ascii="方正仿宋_GBK" w:hAnsi="方正仿宋_GBK" w:eastAsia="方正仿宋_GBK" w:cs="方正仿宋_GBK"/>
          <w:sz w:val="32"/>
          <w:szCs w:val="32"/>
          <w:shd w:val="clear" w:color="auto" w:fill="FFFFFF"/>
        </w:rPr>
      </w:pP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年度本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因公出国（境）共计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个团组，</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人；公务用车购置</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辆，公务车保有量为</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辆；国内公务接待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人，其中：国内外事接待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人；国（境）外公务接待</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批次，</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人。</w:t>
      </w:r>
      <w:r>
        <w:rPr>
          <w:rFonts w:hint="default" w:ascii="Times New Roman" w:hAnsi="Times New Roman" w:eastAsia="方正仿宋_GBK"/>
          <w:sz w:val="32"/>
          <w:szCs w:val="32"/>
          <w:shd w:val="clear" w:color="auto" w:fill="FFFFFF"/>
        </w:rPr>
        <w:t>2024</w:t>
      </w:r>
      <w:r>
        <w:rPr>
          <w:rFonts w:ascii="方正仿宋_GBK" w:hAnsi="方正仿宋_GBK" w:eastAsia="方正仿宋_GBK" w:cs="方正仿宋_GBK"/>
          <w:sz w:val="32"/>
          <w:szCs w:val="32"/>
          <w:shd w:val="clear" w:color="auto" w:fill="FFFFFF"/>
        </w:rPr>
        <w:t>年本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人均接待费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元，车均购置费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万元，车均维护费</w:t>
      </w:r>
      <w:r>
        <w:rPr>
          <w:rFonts w:hint="default" w:ascii="Times New Roman" w:hAnsi="Times New Roman" w:eastAsia="方正仿宋_GBK"/>
          <w:sz w:val="32"/>
          <w:szCs w:val="32"/>
          <w:shd w:val="clear" w:color="auto" w:fill="FFFFFF"/>
        </w:rPr>
        <w:t>0</w:t>
      </w:r>
      <w:r>
        <w:rPr>
          <w:rFonts w:ascii="方正仿宋_GBK" w:hAnsi="方正仿宋_GBK" w:eastAsia="方正仿宋_GBK" w:cs="方正仿宋_GBK"/>
          <w:sz w:val="32"/>
          <w:szCs w:val="32"/>
          <w:shd w:val="clear" w:color="auto" w:fill="FFFFFF"/>
        </w:rPr>
        <w:t>万元。</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9"/>
          <w:rFonts w:hint="default" w:ascii="黑体" w:hAnsi="黑体" w:eastAsia="黑体" w:cs="黑体"/>
          <w:b w:val="0"/>
          <w:bCs/>
          <w:sz w:val="32"/>
          <w:szCs w:val="32"/>
          <w:shd w:val="clear" w:color="auto" w:fill="FFFFFF"/>
        </w:rPr>
      </w:pPr>
      <w:r>
        <w:rPr>
          <w:rStyle w:val="9"/>
          <w:rFonts w:ascii="黑体" w:hAnsi="黑体" w:eastAsia="黑体" w:cs="黑体"/>
          <w:b w:val="0"/>
          <w:bCs/>
          <w:sz w:val="32"/>
          <w:szCs w:val="32"/>
          <w:shd w:val="clear" w:color="auto" w:fill="FFFFFF"/>
        </w:rPr>
        <w:t>四、其他需要说明的事项</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highlight w:val="yellow"/>
        </w:rPr>
      </w:pPr>
      <w:r>
        <w:rPr>
          <w:rFonts w:hint="default" w:ascii="Times New Roman" w:hAnsi="Times New Roman" w:eastAsia="方正仿宋_GBK" w:cs="Times New Roman"/>
          <w:b w:val="0"/>
          <w:bCs/>
          <w:color w:val="auto"/>
          <w:sz w:val="32"/>
          <w:szCs w:val="32"/>
          <w:shd w:val="clear" w:color="auto" w:fill="FFFFFF"/>
        </w:rPr>
        <w:t>本年度会议费支出0.00万元，与2023年度相比，无增减，主要原因是</w:t>
      </w:r>
      <w:r>
        <w:rPr>
          <w:rFonts w:hint="default" w:ascii="Times New Roman" w:hAnsi="Times New Roman" w:eastAsia="方正仿宋_GBK" w:cs="Times New Roman"/>
          <w:b w:val="0"/>
          <w:bCs/>
          <w:color w:val="auto"/>
          <w:sz w:val="32"/>
          <w:szCs w:val="32"/>
          <w:shd w:val="clear" w:color="auto" w:fill="FFFFFF"/>
          <w:lang w:eastAsia="zh-CN"/>
        </w:rPr>
        <w:t>本年度未发生会议费。</w:t>
      </w:r>
      <w:r>
        <w:rPr>
          <w:rFonts w:hint="default" w:ascii="Times New Roman" w:hAnsi="Times New Roman" w:eastAsia="方正仿宋_GBK" w:cs="Times New Roman"/>
          <w:b w:val="0"/>
          <w:bCs/>
          <w:color w:val="auto"/>
          <w:sz w:val="32"/>
          <w:szCs w:val="32"/>
          <w:shd w:val="clear" w:color="auto" w:fill="FFFFFF"/>
        </w:rPr>
        <w:t>本年度培训费支出0.17万元，与2023年度相比，减少0.17万元，下降50.0%，主要原因是</w:t>
      </w:r>
      <w:r>
        <w:rPr>
          <w:rFonts w:hint="default" w:ascii="Times New Roman" w:hAnsi="Times New Roman" w:eastAsia="方正仿宋_GBK" w:cs="Times New Roman"/>
          <w:b w:val="0"/>
          <w:bCs/>
          <w:color w:val="auto"/>
          <w:sz w:val="32"/>
          <w:szCs w:val="32"/>
          <w:shd w:val="clear" w:color="auto" w:fill="FFFFFF"/>
          <w:lang w:eastAsia="zh-CN"/>
        </w:rPr>
        <w:t>培训项目减少。</w:t>
      </w:r>
      <w:r>
        <w:rPr>
          <w:rFonts w:hint="default" w:ascii="Times New Roman" w:hAnsi="Times New Roman" w:eastAsia="方正仿宋_GBK" w:cs="Times New Roman"/>
          <w:b w:val="0"/>
          <w:bCs/>
          <w:color w:val="auto"/>
          <w:sz w:val="32"/>
          <w:szCs w:val="32"/>
          <w:shd w:val="clear" w:color="auto" w:fill="FFFFFF"/>
        </w:rPr>
        <w:t>本年度差旅费支出0.21</w:t>
      </w:r>
      <w:r>
        <w:rPr>
          <w:rFonts w:hint="default" w:ascii="Times New Roman" w:hAnsi="Times New Roman" w:eastAsia="方正仿宋_GBK" w:cs="Times New Roman"/>
          <w:b w:val="0"/>
          <w:bCs/>
          <w:color w:val="auto"/>
          <w:sz w:val="32"/>
          <w:szCs w:val="32"/>
        </w:rPr>
        <w:t>万元，</w:t>
      </w:r>
      <w:r>
        <w:rPr>
          <w:rFonts w:hint="default" w:ascii="Times New Roman" w:hAnsi="Times New Roman" w:eastAsia="方正仿宋_GBK" w:cs="Times New Roman"/>
          <w:b w:val="0"/>
          <w:bCs/>
          <w:color w:val="auto"/>
          <w:sz w:val="32"/>
          <w:szCs w:val="32"/>
          <w:shd w:val="clear" w:color="auto" w:fill="FFFFFF"/>
        </w:rPr>
        <w:t>与2023年度相比，减少0.46万元，下降68.7%，主要原因是</w:t>
      </w:r>
      <w:r>
        <w:rPr>
          <w:rFonts w:hint="default" w:ascii="Times New Roman" w:hAnsi="Times New Roman" w:eastAsia="方正仿宋_GBK" w:cs="Times New Roman"/>
          <w:b w:val="0"/>
          <w:bCs/>
          <w:color w:val="auto"/>
          <w:sz w:val="32"/>
          <w:szCs w:val="32"/>
          <w:shd w:val="clear" w:color="auto" w:fill="FFFFFF"/>
          <w:lang w:eastAsia="zh-CN"/>
        </w:rPr>
        <w:t>出差次数减少。</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auto"/>
          <w:sz w:val="32"/>
          <w:szCs w:val="32"/>
          <w:highlight w:val="none"/>
        </w:rPr>
      </w:pPr>
      <w:r>
        <w:rPr>
          <w:rFonts w:hint="default" w:ascii="方正仿宋_GBK" w:hAnsi="方正仿宋_GBK" w:eastAsia="方正仿宋_GBK" w:cs="方正仿宋_GBK"/>
          <w:b w:val="0"/>
          <w:bCs/>
          <w:color w:val="auto"/>
          <w:sz w:val="32"/>
          <w:szCs w:val="32"/>
          <w:highlight w:val="none"/>
        </w:rPr>
        <w:t>按照部门决算列报口径，</w:t>
      </w:r>
      <w:r>
        <w:rPr>
          <w:rFonts w:hint="eastAsia" w:ascii="方正仿宋_GBK" w:hAnsi="方正仿宋_GBK" w:eastAsia="方正仿宋_GBK" w:cs="方正仿宋_GBK"/>
          <w:b w:val="0"/>
          <w:bCs/>
          <w:color w:val="auto"/>
          <w:sz w:val="32"/>
          <w:szCs w:val="32"/>
          <w:highlight w:val="none"/>
          <w:lang w:eastAsia="zh-CN"/>
        </w:rPr>
        <w:t>本单位</w:t>
      </w:r>
      <w:r>
        <w:rPr>
          <w:rFonts w:hint="default" w:ascii="方正仿宋_GBK" w:hAnsi="方正仿宋_GBK" w:eastAsia="方正仿宋_GBK" w:cs="方正仿宋_GBK"/>
          <w:b w:val="0"/>
          <w:bCs/>
          <w:color w:val="auto"/>
          <w:sz w:val="32"/>
          <w:szCs w:val="32"/>
          <w:highlight w:val="none"/>
        </w:rPr>
        <w:t>不在机关运行经费统计范围之内。</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截至</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w:t>
      </w:r>
      <w:r>
        <w:rPr>
          <w:rFonts w:hint="default" w:ascii="Times New Roman" w:hAnsi="Times New Roman" w:eastAsia="方正仿宋_GBK"/>
          <w:b w:val="0"/>
          <w:bCs/>
          <w:sz w:val="32"/>
          <w:szCs w:val="32"/>
          <w:shd w:val="clear" w:color="auto" w:fill="FFFFFF"/>
        </w:rPr>
        <w:t>12</w:t>
      </w:r>
      <w:r>
        <w:rPr>
          <w:rFonts w:ascii="方正仿宋_GBK" w:hAnsi="方正仿宋_GBK" w:eastAsia="方正仿宋_GBK" w:cs="方正仿宋_GBK"/>
          <w:b w:val="0"/>
          <w:bCs/>
          <w:sz w:val="32"/>
          <w:szCs w:val="32"/>
          <w:shd w:val="clear" w:color="auto" w:fill="FFFFFF"/>
        </w:rPr>
        <w:t>月</w:t>
      </w:r>
      <w:r>
        <w:rPr>
          <w:rFonts w:hint="default" w:ascii="Times New Roman" w:hAnsi="Times New Roman" w:eastAsia="方正仿宋_GBK"/>
          <w:b w:val="0"/>
          <w:bCs/>
          <w:sz w:val="32"/>
          <w:szCs w:val="32"/>
          <w:shd w:val="clear" w:color="auto" w:fill="FFFFFF"/>
        </w:rPr>
        <w:t>31</w:t>
      </w:r>
      <w:r>
        <w:rPr>
          <w:rFonts w:ascii="方正仿宋_GBK" w:hAnsi="方正仿宋_GBK" w:eastAsia="方正仿宋_GBK" w:cs="方正仿宋_GBK"/>
          <w:b w:val="0"/>
          <w:bCs/>
          <w:sz w:val="32"/>
          <w:szCs w:val="32"/>
          <w:shd w:val="clear" w:color="auto" w:fill="FFFFFF"/>
        </w:rPr>
        <w:t>日，本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共有车辆</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辆，其中，副部（省）级及以上领导用车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辆、主要负责人用车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辆、机要通信用车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辆、应急保障用车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辆、执法执勤用车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辆，特种专业技术用车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辆，离退休干部用车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辆。单价</w:t>
      </w:r>
      <w:r>
        <w:rPr>
          <w:rFonts w:hint="default" w:ascii="Times New Roman" w:hAnsi="Times New Roman" w:eastAsia="方正仿宋_GBK"/>
          <w:b w:val="0"/>
          <w:bCs/>
          <w:sz w:val="32"/>
          <w:szCs w:val="32"/>
          <w:shd w:val="clear" w:color="auto" w:fill="FFFFFF"/>
        </w:rPr>
        <w:t>100</w:t>
      </w:r>
      <w:r>
        <w:rPr>
          <w:rFonts w:ascii="方正仿宋_GBK" w:hAnsi="方正仿宋_GBK" w:eastAsia="方正仿宋_GBK" w:cs="方正仿宋_GBK"/>
          <w:b w:val="0"/>
          <w:bCs/>
          <w:sz w:val="32"/>
          <w:szCs w:val="32"/>
          <w:shd w:val="clear" w:color="auto" w:fill="FFFFFF"/>
        </w:rPr>
        <w:t>万元（含）以上专用设备</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台（套）。</w:t>
      </w:r>
    </w:p>
    <w:p>
      <w:pPr>
        <w:pStyle w:val="11"/>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Fonts w:ascii="方正仿宋_GBK" w:hAnsi="方正仿宋_GBK" w:eastAsia="方正仿宋_GBK" w:cs="方正仿宋_GBK"/>
          <w:b w:val="0"/>
          <w:bCs/>
          <w:color w:val="auto"/>
          <w:sz w:val="32"/>
          <w:szCs w:val="32"/>
          <w:highlight w:val="none"/>
          <w:shd w:val="clear" w:color="auto" w:fill="FFFFFF"/>
        </w:rPr>
      </w:pPr>
      <w:r>
        <w:rPr>
          <w:rFonts w:ascii="Times New Roman" w:hAnsi="Times New Roman" w:eastAsia="方正仿宋_GBK"/>
          <w:b w:val="0"/>
          <w:bCs/>
          <w:color w:val="auto"/>
          <w:sz w:val="32"/>
          <w:szCs w:val="32"/>
          <w:highlight w:val="none"/>
          <w:shd w:val="clear" w:color="auto" w:fill="FFFFFF"/>
        </w:rPr>
        <w:t>2024</w:t>
      </w:r>
      <w:r>
        <w:rPr>
          <w:rFonts w:ascii="方正仿宋_GBK" w:hAnsi="方正仿宋_GBK" w:eastAsia="方正仿宋_GBK" w:cs="方正仿宋_GBK"/>
          <w:b w:val="0"/>
          <w:bCs/>
          <w:color w:val="auto"/>
          <w:sz w:val="32"/>
          <w:szCs w:val="32"/>
          <w:highlight w:val="none"/>
          <w:shd w:val="clear" w:color="auto" w:fill="FFFFFF"/>
        </w:rPr>
        <w:t>年度</w:t>
      </w:r>
      <w:r>
        <w:rPr>
          <w:rFonts w:hint="eastAsia" w:ascii="方正仿宋_GBK" w:hAnsi="方正仿宋_GBK" w:eastAsia="方正仿宋_GBK" w:cs="方正仿宋_GBK"/>
          <w:b w:val="0"/>
          <w:bCs/>
          <w:color w:val="auto"/>
          <w:sz w:val="32"/>
          <w:szCs w:val="32"/>
          <w:highlight w:val="none"/>
          <w:shd w:val="clear" w:color="auto" w:fill="FFFFFF"/>
          <w:lang w:eastAsia="zh-CN"/>
        </w:rPr>
        <w:t>本单位</w:t>
      </w:r>
      <w:r>
        <w:rPr>
          <w:rFonts w:ascii="方正仿宋_GBK" w:hAnsi="方正仿宋_GBK" w:eastAsia="方正仿宋_GBK" w:cs="方正仿宋_GBK"/>
          <w:b w:val="0"/>
          <w:bCs/>
          <w:color w:val="auto"/>
          <w:sz w:val="32"/>
          <w:szCs w:val="32"/>
          <w:highlight w:val="none"/>
          <w:shd w:val="clear" w:color="auto" w:fill="FFFFFF"/>
        </w:rPr>
        <w:t>未发生政府采购事项，无相关经费支出。</w:t>
      </w:r>
    </w:p>
    <w:p>
      <w:pPr>
        <w:pStyle w:val="7"/>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9"/>
          <w:rFonts w:hint="default" w:ascii="黑体" w:hAnsi="黑体" w:eastAsia="黑体" w:cs="黑体"/>
          <w:b w:val="0"/>
          <w:bCs/>
          <w:sz w:val="32"/>
          <w:szCs w:val="32"/>
          <w:shd w:val="clear" w:color="auto" w:fill="FFFFFF"/>
        </w:rPr>
      </w:pPr>
      <w:r>
        <w:rPr>
          <w:rStyle w:val="9"/>
          <w:rFonts w:hint="eastAsia" w:ascii="黑体" w:hAnsi="黑体" w:eastAsia="黑体" w:cs="黑体"/>
          <w:b w:val="0"/>
          <w:bCs/>
          <w:sz w:val="32"/>
          <w:szCs w:val="32"/>
          <w:shd w:val="clear" w:color="auto" w:fill="FFFFFF"/>
          <w:lang w:eastAsia="zh-CN"/>
        </w:rPr>
        <w:t>五、</w:t>
      </w:r>
      <w:r>
        <w:rPr>
          <w:rStyle w:val="9"/>
          <w:rFonts w:ascii="黑体" w:hAnsi="黑体" w:eastAsia="黑体" w:cs="黑体"/>
          <w:b w:val="0"/>
          <w:bCs/>
          <w:sz w:val="32"/>
          <w:szCs w:val="32"/>
          <w:shd w:val="clear" w:color="auto" w:fill="FFFFFF"/>
        </w:rPr>
        <w:t>预算绩效管理情况说明</w:t>
      </w:r>
    </w:p>
    <w:p>
      <w:pPr>
        <w:pStyle w:val="11"/>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（一）单位自评情况</w:t>
      </w:r>
    </w:p>
    <w:p>
      <w:pPr>
        <w:pStyle w:val="11"/>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Times New Roman" w:hAnsi="Times New Roman" w:eastAsia="方正仿宋_GBK" w:cs="方正仿宋_GBK"/>
          <w:sz w:val="32"/>
          <w:szCs w:val="32"/>
          <w:shd w:val="clear" w:color="auto" w:fill="FFFFFF"/>
          <w:lang w:val="en-US" w:eastAsia="zh-CN" w:bidi="ar-SA"/>
        </w:rPr>
      </w:pPr>
      <w:r>
        <w:rPr>
          <w:rFonts w:hint="eastAsia" w:ascii="Times New Roman" w:hAnsi="Times New Roman" w:eastAsia="方正仿宋_GBK" w:cs="方正仿宋_GBK"/>
          <w:sz w:val="32"/>
          <w:szCs w:val="32"/>
          <w:shd w:val="clear" w:color="auto" w:fill="FFFFFF"/>
          <w:lang w:val="en-US" w:eastAsia="zh-CN" w:bidi="ar-SA"/>
        </w:rPr>
        <w:t>本单位为委属代管单位，无项目预算及支出，未开展绩效自评。</w:t>
      </w:r>
    </w:p>
    <w:p>
      <w:pPr>
        <w:pStyle w:val="11"/>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1"/>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ascii="方正仿宋_GBK" w:hAnsi="方正仿宋_GBK" w:eastAsia="方正仿宋_GBK" w:cs="方正仿宋_GBK"/>
          <w:b w:val="0"/>
          <w:bCs w:val="0"/>
          <w:sz w:val="32"/>
          <w:szCs w:val="32"/>
          <w:shd w:val="clear" w:color="auto" w:fill="FFFFFF"/>
        </w:rPr>
      </w:pPr>
      <w:r>
        <w:rPr>
          <w:rFonts w:hint="eastAsia" w:ascii="方正仿宋_GBK" w:hAnsi="方正仿宋_GBK" w:eastAsia="方正仿宋_GBK" w:cs="方正仿宋_GBK"/>
          <w:b w:val="0"/>
          <w:bCs w:val="0"/>
          <w:sz w:val="32"/>
          <w:szCs w:val="32"/>
          <w:shd w:val="clear" w:color="auto" w:fill="FFFFFF"/>
          <w:lang w:eastAsia="zh-CN"/>
        </w:rPr>
        <w:t>本</w:t>
      </w:r>
      <w:r>
        <w:rPr>
          <w:rFonts w:hint="eastAsia" w:ascii="方正仿宋_GBK" w:hAnsi="方正仿宋_GBK" w:eastAsia="方正仿宋_GBK" w:cs="方正仿宋_GBK"/>
          <w:b w:val="0"/>
          <w:bCs w:val="0"/>
          <w:sz w:val="32"/>
          <w:szCs w:val="32"/>
          <w:shd w:val="clear" w:color="auto" w:fill="FFFFFF"/>
        </w:rPr>
        <w:t>单位</w:t>
      </w:r>
      <w:r>
        <w:rPr>
          <w:rFonts w:hint="eastAsia" w:ascii="方正仿宋_GBK" w:hAnsi="方正仿宋_GBK" w:eastAsia="方正仿宋_GBK" w:cs="方正仿宋_GBK"/>
          <w:b w:val="0"/>
          <w:bCs w:val="0"/>
          <w:sz w:val="32"/>
          <w:szCs w:val="32"/>
          <w:shd w:val="clear" w:color="auto" w:fill="FFFFFF"/>
          <w:lang w:eastAsia="zh-CN"/>
        </w:rPr>
        <w:t>未组织开展绩效评价。</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9"/>
          <w:rFonts w:hint="eastAsia" w:ascii="方正黑体_GBK" w:hAnsi="方正黑体_GBK" w:eastAsia="方正黑体_GBK" w:cs="方正黑体_GBK"/>
          <w:b w:val="0"/>
          <w:bCs/>
          <w:sz w:val="32"/>
          <w:szCs w:val="32"/>
          <w:shd w:val="clear" w:color="auto" w:fill="FFFFFF"/>
        </w:rPr>
      </w:pPr>
      <w:r>
        <w:rPr>
          <w:rStyle w:val="9"/>
          <w:rFonts w:hint="eastAsia" w:ascii="方正黑体_GBK" w:hAnsi="方正黑体_GBK" w:eastAsia="方正黑体_GBK" w:cs="方正黑体_GBK"/>
          <w:b w:val="0"/>
          <w:bCs/>
          <w:sz w:val="32"/>
          <w:szCs w:val="32"/>
          <w:shd w:val="clear" w:color="auto" w:fill="FFFFFF"/>
        </w:rPr>
        <w:t>六、专业名词解释</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Fonts w:hint="eastAsia" w:ascii="方正楷体_GBK" w:hAnsi="方正楷体_GBK" w:eastAsia="方正楷体_GBK" w:cs="方正楷体_GBK"/>
          <w:b w:val="0"/>
          <w:bCs w:val="0"/>
          <w:sz w:val="32"/>
          <w:szCs w:val="32"/>
          <w:shd w:val="clear" w:color="auto" w:fill="FFFFFF"/>
        </w:rPr>
        <w:t>（一）财政拨款收入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指本年度从本级财政部门取得的财政拨款，包括一般公共预算财政拨款和政府性基金预算财政拨款。</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（二）事业收入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指事业单位开展专业业务活动及其辅助活动取得的现金流入；事业单位收到的财政专户实际核拨的教育收费等资金在此反映。</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（三）经营收入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指事业单位在专业业务活动及其辅助活动之外开展非独立核算经营活动取得的现金流入。</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（四）其他收入</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（五）使用非财政拨款结余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（六）年初结转和结余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指单位上年结转本年使用的基本支出结转、项目支出结转和结余、经营结余。</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（七）结余分配</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指单位按照国家有关规定，缴纳所得税、提取专用基金、转入非财政拨款结余等当年结余的分配情况。</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（八）年末结转和结余</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指单位结转下年的基本支出结转、项目支出结转和结余、经营结余。</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（九）基本支出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（十）项目支出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指在基本支出之外为完成特定行政任务和事业发展目标所发生的支出。</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（十一）经营支出</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指事业单位在专业业务活动及其辅助活动之外开展非独立核算经营活动发生的支出。</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（十二）“三公”经费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（十三）机关运行经费</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（十四）工资福利支出（支出经济分类科目类级）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反映单位开支的在职职工和编制外长期聘用人员的各类劳动报酬，以及为上述人员缴纳的各项社会保险费等。</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（十五）商品和服务支出（支出经济分类科目类级）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反映单位购买商品和服务的支出（不包括用于购置固定资产的支出、战略性和应急储备支出）。</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（十六）对个人和家庭的补助（支出经济分类科目类级）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反映用于对个人和家庭的补助支出。</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sz w:val="32"/>
          <w:szCs w:val="32"/>
        </w:rPr>
      </w:pPr>
      <w:r>
        <w:rPr>
          <w:rStyle w:val="9"/>
          <w:rFonts w:hint="eastAsia" w:ascii="方正楷体_GBK" w:hAnsi="方正楷体_GBK" w:eastAsia="方正楷体_GBK" w:cs="方正楷体_GBK"/>
          <w:b w:val="0"/>
          <w:bCs w:val="0"/>
          <w:sz w:val="32"/>
          <w:szCs w:val="32"/>
          <w:shd w:val="clear" w:color="auto" w:fill="FFFFFF"/>
        </w:rPr>
        <w:t>（十七）其他资本性支出（支出经济分类科目类级）</w:t>
      </w:r>
      <w:r>
        <w:rPr>
          <w:rFonts w:ascii="楷体" w:hAnsi="楷体" w:eastAsia="楷体" w:cs="楷体"/>
          <w:b w:val="0"/>
          <w:bCs w:val="0"/>
          <w:sz w:val="32"/>
          <w:szCs w:val="32"/>
          <w:shd w:val="clear" w:color="auto" w:fill="FFFFFF"/>
        </w:rPr>
        <w:t>：</w:t>
      </w:r>
      <w:r>
        <w:rPr>
          <w:rFonts w:ascii="方正仿宋_GBK" w:hAnsi="方正仿宋_GBK" w:eastAsia="方正仿宋_GBK" w:cs="方正仿宋_GBK"/>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9"/>
          <w:rFonts w:hint="eastAsia" w:ascii="方正黑体_GBK" w:hAnsi="方正黑体_GBK" w:eastAsia="方正黑体_GBK" w:cs="方正黑体_GBK"/>
          <w:b w:val="0"/>
          <w:bCs/>
          <w:sz w:val="32"/>
          <w:szCs w:val="32"/>
          <w:shd w:val="clear" w:color="auto" w:fill="FFFFFF"/>
        </w:rPr>
      </w:pPr>
      <w:r>
        <w:rPr>
          <w:rStyle w:val="9"/>
          <w:rFonts w:hint="eastAsia" w:ascii="方正黑体_GBK" w:hAnsi="方正黑体_GBK" w:eastAsia="方正黑体_GBK" w:cs="方正黑体_GBK"/>
          <w:b w:val="0"/>
          <w:bCs/>
          <w:sz w:val="32"/>
          <w:szCs w:val="32"/>
          <w:shd w:val="clear" w:color="auto" w:fill="FFFFFF"/>
        </w:rPr>
        <w:t>七、决算公开联系方式及信息反馈渠道</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本单位决算公开信息反馈和联系方式：</w:t>
      </w:r>
    </w:p>
    <w:p>
      <w:pPr>
        <w:pStyle w:val="7"/>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FF0000"/>
          <w:sz w:val="32"/>
          <w:szCs w:val="32"/>
          <w:highlight w:val="none"/>
          <w:shd w:val="clear" w:color="auto" w:fill="FFFFFF"/>
          <w:lang w:val="en-US" w:eastAsia="zh-CN" w:bidi="ar-SA"/>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023-76662083</w:t>
      </w:r>
    </w:p>
    <w:tbl>
      <w:tblPr>
        <w:tblStyle w:val="10"/>
        <w:tblW w:w="1980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10"/>
        <w:gridCol w:w="838"/>
        <w:gridCol w:w="4583"/>
        <w:gridCol w:w="4950"/>
        <w:gridCol w:w="800"/>
        <w:gridCol w:w="44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19800"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381" w:type="dxa"/>
            <w:gridSpan w:val="5"/>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秀山土家族苗族自治县基层卫生管理中心</w:t>
            </w:r>
          </w:p>
        </w:tc>
        <w:tc>
          <w:tcPr>
            <w:tcW w:w="4419"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381" w:type="dxa"/>
            <w:gridSpan w:val="5"/>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4419"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96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收入</w:t>
            </w:r>
          </w:p>
        </w:tc>
        <w:tc>
          <w:tcPr>
            <w:tcW w:w="10169"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四、上级补助收入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五、事业收入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六、经营收入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七、附属单位上缴收入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八、其他收入</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583" w:type="dxa"/>
            <w:tcBorders>
              <w:top w:val="nil"/>
              <w:left w:val="nil"/>
              <w:bottom w:val="nil"/>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334,524.00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39</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1,904,066.36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40</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kern w:val="0"/>
                <w:sz w:val="22"/>
                <w:szCs w:val="22"/>
                <w:u w:val="none"/>
                <w:lang w:val="en-US" w:eastAsia="zh-CN" w:bidi="ar"/>
              </w:rPr>
              <w:t>49</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111,898.00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0</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1</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2</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3</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4</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5</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2"/>
                <w:szCs w:val="22"/>
                <w:u w:val="none"/>
              </w:rPr>
            </w:pP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Times New Roman" w:hAnsi="Times New Roman" w:cs="Times New Roman" w:eastAsiaTheme="minorEastAsia"/>
                <w:i w:val="0"/>
                <w:iCs w:val="0"/>
                <w:color w:val="000000"/>
                <w:sz w:val="22"/>
                <w:szCs w:val="22"/>
                <w:u w:val="none"/>
              </w:rPr>
            </w:pP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6</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7</w:t>
            </w:r>
          </w:p>
        </w:tc>
        <w:tc>
          <w:tcPr>
            <w:tcW w:w="441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2,350,488.36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使用非财政拨款结余（含专用结余）</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结余分配</w:t>
            </w:r>
          </w:p>
        </w:tc>
        <w:tc>
          <w:tcPr>
            <w:tcW w:w="8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r>
              <w:rPr>
                <w:rFonts w:hint="eastAsia" w:cs="宋体"/>
                <w:b/>
                <w:bCs/>
                <w:i w:val="0"/>
                <w:iCs w:val="0"/>
                <w:color w:val="000000"/>
                <w:kern w:val="0"/>
                <w:sz w:val="22"/>
                <w:szCs w:val="22"/>
                <w:u w:val="none"/>
                <w:lang w:val="en-US" w:eastAsia="zh-CN" w:bidi="ar"/>
              </w:rPr>
              <w:t>8</w:t>
            </w:r>
          </w:p>
        </w:tc>
        <w:tc>
          <w:tcPr>
            <w:tcW w:w="4419"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83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800" w:type="dxa"/>
            <w:tcBorders>
              <w:top w:val="nil"/>
              <w:left w:val="nil"/>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cs="宋体"/>
                <w:b/>
                <w:bCs/>
                <w:i w:val="0"/>
                <w:iCs w:val="0"/>
                <w:color w:val="000000"/>
                <w:sz w:val="22"/>
                <w:szCs w:val="22"/>
                <w:u w:val="none"/>
                <w:lang w:val="en-US" w:eastAsia="zh-CN"/>
              </w:rPr>
              <w:t>59</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421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38"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r>
              <w:rPr>
                <w:rFonts w:hint="eastAsia" w:cs="宋体"/>
                <w:b/>
                <w:bCs/>
                <w:i w:val="0"/>
                <w:iCs w:val="0"/>
                <w:color w:val="000000"/>
                <w:kern w:val="0"/>
                <w:sz w:val="22"/>
                <w:szCs w:val="22"/>
                <w:u w:val="none"/>
                <w:lang w:val="en-US" w:eastAsia="zh-CN" w:bidi="ar"/>
              </w:rPr>
              <w:t>0</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49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800" w:type="dxa"/>
            <w:tcBorders>
              <w:top w:val="nil"/>
              <w:left w:val="nil"/>
              <w:bottom w:val="single" w:color="000000"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r>
              <w:rPr>
                <w:rFonts w:hint="eastAsia" w:cs="宋体"/>
                <w:b/>
                <w:bCs/>
                <w:i w:val="0"/>
                <w:iCs w:val="0"/>
                <w:color w:val="000000"/>
                <w:kern w:val="0"/>
                <w:sz w:val="22"/>
                <w:szCs w:val="22"/>
                <w:u w:val="none"/>
                <w:lang w:val="en-US" w:eastAsia="zh-CN" w:bidi="ar"/>
              </w:rPr>
              <w:t>0</w:t>
            </w:r>
          </w:p>
        </w:tc>
        <w:tc>
          <w:tcPr>
            <w:tcW w:w="441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2,350,488.36</w:t>
            </w:r>
          </w:p>
        </w:tc>
      </w:tr>
    </w:tbl>
    <w:p>
      <w:pPr>
        <w:pStyle w:val="11"/>
        <w:numPr>
          <w:ilvl w:val="0"/>
          <w:numId w:val="0"/>
        </w:numPr>
        <w:autoSpaceDE w:val="0"/>
        <w:rPr>
          <w:rFonts w:hint="eastAsia" w:ascii="宋体" w:hAnsi="宋体" w:eastAsia="宋体" w:cs="宋体"/>
          <w:sz w:val="21"/>
          <w:szCs w:val="21"/>
          <w:lang w:val="en-US" w:eastAsia="zh-CN"/>
        </w:rPr>
        <w:sectPr>
          <w:headerReference r:id="rId4" w:type="default"/>
          <w:footerReference r:id="rId5" w:type="default"/>
          <w:pgSz w:w="23811" w:h="16838" w:orient="landscape"/>
          <w:pgMar w:top="567" w:right="454" w:bottom="567" w:left="1037" w:header="0" w:footer="283" w:gutter="0"/>
          <w:pgNumType w:fmt="numberInDash"/>
          <w:cols w:space="720" w:num="1"/>
          <w:docGrid w:type="lines" w:linePitch="312" w:charSpace="0"/>
        </w:sectPr>
      </w:pPr>
    </w:p>
    <w:p>
      <w:pPr>
        <w:pStyle w:val="11"/>
        <w:numPr>
          <w:ilvl w:val="0"/>
          <w:numId w:val="0"/>
        </w:numPr>
        <w:autoSpaceDE w:val="0"/>
        <w:rPr>
          <w:rFonts w:hint="eastAsia" w:ascii="宋体" w:hAnsi="宋体" w:eastAsia="宋体" w:cs="宋体"/>
          <w:sz w:val="21"/>
          <w:szCs w:val="21"/>
          <w:lang w:val="en-US" w:eastAsia="zh-CN"/>
        </w:rPr>
      </w:pPr>
    </w:p>
    <w:tbl>
      <w:tblPr>
        <w:tblStyle w:val="10"/>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84"/>
        <w:gridCol w:w="583"/>
        <w:gridCol w:w="550"/>
        <w:gridCol w:w="3900"/>
        <w:gridCol w:w="2403"/>
        <w:gridCol w:w="2403"/>
        <w:gridCol w:w="2403"/>
        <w:gridCol w:w="2403"/>
        <w:gridCol w:w="2403"/>
        <w:gridCol w:w="2403"/>
        <w:gridCol w:w="24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443" w:type="dxa"/>
            <w:gridSpan w:val="11"/>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0" w:hRule="atLeast"/>
        </w:trPr>
        <w:tc>
          <w:tcPr>
            <w:tcW w:w="20035" w:type="dxa"/>
            <w:gridSpan w:val="10"/>
            <w:tcBorders>
              <w:top w:val="nil"/>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sz w:val="20"/>
                <w:szCs w:val="20"/>
              </w:rPr>
              <w:t>：</w:t>
            </w:r>
            <w:r>
              <w:rPr>
                <w:sz w:val="20"/>
                <w:u w:color="auto"/>
              </w:rPr>
              <w:t>秀山土家族苗族自治县基层卫生管理中心</w:t>
            </w:r>
          </w:p>
        </w:tc>
        <w:tc>
          <w:tcPr>
            <w:tcW w:w="2408" w:type="dxa"/>
            <w:tcBorders>
              <w:top w:val="nil"/>
              <w:left w:val="nil"/>
              <w:right w:val="nil"/>
            </w:tcBorders>
            <w:shd w:val="clear" w:color="auto" w:fill="auto"/>
            <w:vAlign w:val="bottom"/>
          </w:tcPr>
          <w:p>
            <w:pPr>
              <w:keepNext w:val="0"/>
              <w:keepLines w:val="0"/>
              <w:widowControl/>
              <w:suppressLineNumbers w:val="0"/>
              <w:jc w:val="right"/>
              <w:textAlignment w:val="bottom"/>
              <w:rPr>
                <w:rFonts w:hint="default" w:ascii="Arial" w:hAnsi="Arial" w:eastAsia="宋体" w:cs="Arial"/>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02表</w:t>
            </w:r>
          </w:p>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9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财政拨款收入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上级补助收入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事业收入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经营收入</w:t>
            </w:r>
          </w:p>
        </w:tc>
        <w:tc>
          <w:tcPr>
            <w:tcW w:w="240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附属单位上缴收入</w:t>
            </w:r>
          </w:p>
        </w:tc>
        <w:tc>
          <w:tcPr>
            <w:tcW w:w="2408"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8"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58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8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5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4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58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8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2,350,488.36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2,350,488.36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222,136.00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222,136.00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112,388.00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112,388.00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1,904,066.36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1,904,066.36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卫生健康管理事务</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1,780,935.02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1,780,935.02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2100199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其他卫生健康管理事务支出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1,780,935.02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1,780,935.02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123,131.34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123,131.34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94,331.34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94,331.34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28,800.00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28,800.00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717"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39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111,898.00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111,898.00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24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550"/>
        <w:gridCol w:w="483"/>
        <w:gridCol w:w="4433"/>
        <w:gridCol w:w="2737"/>
        <w:gridCol w:w="2737"/>
        <w:gridCol w:w="2737"/>
        <w:gridCol w:w="2737"/>
        <w:gridCol w:w="2737"/>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443" w:type="dxa"/>
            <w:gridSpan w:val="10"/>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702" w:type="dxa"/>
            <w:gridSpan w:val="9"/>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 xml:space="preserve">秀山土家族苗族自治县基层卫生管理中心 </w:t>
            </w:r>
          </w:p>
        </w:tc>
        <w:tc>
          <w:tcPr>
            <w:tcW w:w="2741"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702" w:type="dxa"/>
            <w:gridSpan w:val="9"/>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741"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33"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上缴上级支出</w:t>
            </w:r>
          </w:p>
        </w:tc>
        <w:tc>
          <w:tcPr>
            <w:tcW w:w="2737"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经营支出</w:t>
            </w:r>
          </w:p>
        </w:tc>
        <w:tc>
          <w:tcPr>
            <w:tcW w:w="2741"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37"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41"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5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48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4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8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2,350,488.36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2,350,488.36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741"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社会保障和就业支出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20805</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行政事业单位养老支出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334,524.00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2080505</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机关事业单位基本养老保险缴费支出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222,136.00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222,136.00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2080506</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机关事业单位职业年金缴费支出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112,388.00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112,388.00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1,904,066.36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1,904,066.36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21001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卫生健康管理事务</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1,780,935.02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1,780,935.02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2100199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其他卫生健康管理事务支出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1,780,935.02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1,780,935.02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21011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行政事业单位医疗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123,131.34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123,131.34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事业单位医疗</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94,331.34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94,331.34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2101199</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其他行政事业单位医疗支出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28,800.00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28,800.00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住房保障支出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b/>
                <w:color w:val="000000"/>
                <w:sz w:val="22"/>
                <w:szCs w:val="22"/>
              </w:rPr>
              <w:t>22102</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b/>
                <w:color w:val="000000"/>
                <w:sz w:val="22"/>
                <w:szCs w:val="22"/>
              </w:rPr>
              <w:t>住房改革支出</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111,898.00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bCs w:val="0"/>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584"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r>
              <w:rPr>
                <w:rFonts w:cs="宋体"/>
                <w:color w:val="000000"/>
                <w:sz w:val="22"/>
                <w:szCs w:val="22"/>
              </w:rPr>
              <w:t>2210201</w:t>
            </w:r>
          </w:p>
        </w:tc>
        <w:tc>
          <w:tcPr>
            <w:tcW w:w="44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ascii="宋体" w:hAnsi="宋体" w:eastAsia="宋体" w:cs="宋体"/>
                <w:i w:val="0"/>
                <w:iCs w:val="0"/>
                <w:color w:val="000000"/>
                <w:sz w:val="22"/>
                <w:szCs w:val="22"/>
                <w:u w:val="none"/>
              </w:rPr>
            </w:pPr>
            <w:r>
              <w:rPr>
                <w:rFonts w:cs="宋体"/>
                <w:color w:val="000000"/>
                <w:sz w:val="22"/>
                <w:szCs w:val="22"/>
              </w:rPr>
              <w:t>住房公积金</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111,898.00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111,898.00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7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239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225"/>
        <w:gridCol w:w="683"/>
        <w:gridCol w:w="2700"/>
        <w:gridCol w:w="3583"/>
        <w:gridCol w:w="717"/>
        <w:gridCol w:w="2872"/>
        <w:gridCol w:w="2872"/>
        <w:gridCol w:w="2872"/>
        <w:gridCol w:w="2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jc w:val="center"/>
        </w:trPr>
        <w:tc>
          <w:tcPr>
            <w:tcW w:w="22398" w:type="dxa"/>
            <w:gridSpan w:val="9"/>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9524" w:type="dxa"/>
            <w:gridSpan w:val="8"/>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秀山土家族苗族自治县基层卫生管理中心</w:t>
            </w:r>
          </w:p>
        </w:tc>
        <w:tc>
          <w:tcPr>
            <w:tcW w:w="287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9524" w:type="dxa"/>
            <w:gridSpan w:val="8"/>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87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66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收     入</w:t>
            </w:r>
          </w:p>
        </w:tc>
        <w:tc>
          <w:tcPr>
            <w:tcW w:w="15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 w:hRule="atLeast"/>
          <w:jc w:val="center"/>
        </w:trPr>
        <w:tc>
          <w:tcPr>
            <w:tcW w:w="3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金额</w:t>
            </w:r>
          </w:p>
        </w:tc>
        <w:tc>
          <w:tcPr>
            <w:tcW w:w="35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w:t>
            </w:r>
          </w:p>
        </w:tc>
        <w:tc>
          <w:tcPr>
            <w:tcW w:w="7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一般公共预算财政拨款</w:t>
            </w:r>
          </w:p>
        </w:tc>
        <w:tc>
          <w:tcPr>
            <w:tcW w:w="2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政府性基金预算财政拨款</w:t>
            </w:r>
          </w:p>
        </w:tc>
        <w:tc>
          <w:tcPr>
            <w:tcW w:w="2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jc w:val="center"/>
        </w:trPr>
        <w:tc>
          <w:tcPr>
            <w:tcW w:w="3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5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2"/>
                <w:szCs w:val="22"/>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一、一般公共服务支出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二、外交支出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三、国防支出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四、公共安全支出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五、教育支出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六、科学技术支出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七、文化旅游体育与传媒支出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八、社会保障和就业支出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334,524.00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334,524.00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九、卫生健康支出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1,904,066.36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1,904,066.36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十、节能环保支出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十一、城乡社区支出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十二、农林水支出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十三、交通运输支出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十四、资源勘探工业信息等支出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十五、商业服务业等支出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十六、金融支出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十七、援助其他地区支出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十八、自然资源海洋气象等支出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十九、住房保障支出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111,898.00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111,898.00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二十、粮油物资储备支出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二十一、国有资本经营预算支出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二十二、灾害防治及应急管理支出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二十三、其他支出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55</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24</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二十四、债务还本支出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56</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二十五、债务付息支出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57</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二十六、抗疫特别国债安排的支出</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58</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59</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60</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一般公共预算财政拨款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61</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exac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政府性基金预算财政拨款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0"/>
                <w:szCs w:val="20"/>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62</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国有资本经营预算财政拨款</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b/>
                <w:bCs/>
                <w:i w:val="0"/>
                <w:iCs w:val="0"/>
                <w:color w:val="000000"/>
                <w:sz w:val="22"/>
                <w:szCs w:val="22"/>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63</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rPr>
                <w:rFonts w:hint="default" w:ascii="Times New Roman" w:hAnsi="Times New Roman" w:cs="Times New Roman" w:eastAsia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jc w:val="center"/>
        </w:trPr>
        <w:tc>
          <w:tcPr>
            <w:tcW w:w="3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27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64</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2,350,488.36 </w:t>
            </w:r>
          </w:p>
        </w:tc>
        <w:tc>
          <w:tcPr>
            <w:tcW w:w="2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2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秀山土家族苗族自治县基层卫生管理中心</w:t>
            </w: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2,350,488.36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2,350,488.36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2,350,488.36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2,350,488.36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社会保障和就业支出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20805</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行政事业单位养老支出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334,524.00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2080505</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机关事业单位基本养老保险缴费支出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222,136.00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222,136.00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222,136.00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222,136.00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2080506</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机关事业单位职业年金缴费支出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112,388.00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112,388.00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112,388.00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112,388.00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卫生健康支出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1,904,066.36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1,904,066.36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1,904,066.36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1,904,066.36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21001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卫生健康管理事务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1,780,935.02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1,780,935.02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1,780,935.02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1,780,935.02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2100199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其他卫生健康管理事务支出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1,780,935.02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1,780,935.02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1,780,935.02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1,780,935.02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21011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行政事业单位医疗</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123,131.34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123,131.34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123,131.34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123,131.34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事业单位医疗</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94,331.34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94,331.34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94,331.34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94,331.34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2101199</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其他行政事业单位医疗支出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28,800.00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28,800.00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28,800.00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28,800.00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住房保障支出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22102</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b/>
                <w:color w:val="000000"/>
                <w:sz w:val="20"/>
                <w:szCs w:val="20"/>
              </w:rPr>
              <w:t>住房改革支出</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111,898.00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bCs w:val="0"/>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2210201</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r>
              <w:rPr>
                <w:rFonts w:cs="宋体"/>
                <w:color w:val="000000"/>
                <w:sz w:val="20"/>
                <w:szCs w:val="20"/>
              </w:rPr>
              <w:t>住房公积金</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111,898.00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111,898.00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111,898.00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111,898.00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23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3616"/>
        <w:gridCol w:w="2650"/>
        <w:gridCol w:w="1234"/>
        <w:gridCol w:w="2866"/>
        <w:gridCol w:w="2367"/>
        <w:gridCol w:w="1133"/>
        <w:gridCol w:w="4467"/>
        <w:gridCol w:w="26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366" w:type="dxa"/>
            <w:gridSpan w:val="9"/>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9684" w:type="dxa"/>
            <w:gridSpan w:val="8"/>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秀山土家族苗族自治县基层卫生管理中心</w:t>
            </w:r>
          </w:p>
        </w:tc>
        <w:tc>
          <w:tcPr>
            <w:tcW w:w="2682"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9684" w:type="dxa"/>
            <w:gridSpan w:val="8"/>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682"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76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w:t>
            </w:r>
          </w:p>
        </w:tc>
        <w:tc>
          <w:tcPr>
            <w:tcW w:w="1474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361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234"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86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3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113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446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2682"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1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34"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86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13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46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82"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工资福利支出</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2,198,405.58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商品和服务支出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150,094.78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310</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资本性支出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1,988.00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508,772.00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41,796.36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80,659.00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1,988.00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31005</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1,037,233.00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31006</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222,136.00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5,724.36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31007</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112,388.00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12,585.36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31008</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94,331.34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31009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6,734.00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31010</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2,188.24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2,105.00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111,898.00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28,800.00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2,535.00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31019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对个人和家庭的补助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1,745.00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31022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31099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312</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对企业补助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31201</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资本金注入</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31203</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政府投资基金股权投资</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4,400.00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31204</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费用补贴</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31205</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利息补贴</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5,392.22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31206</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cs="宋体"/>
                <w:i w:val="0"/>
                <w:iCs w:val="0"/>
                <w:color w:val="000000"/>
                <w:kern w:val="0"/>
                <w:sz w:val="22"/>
                <w:szCs w:val="22"/>
                <w:u w:val="none"/>
                <w:lang w:val="en-US" w:eastAsia="zh-CN" w:bidi="ar"/>
              </w:rPr>
              <w:t xml:space="preserve">  其他资本性补助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31299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其他对企业补助</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399</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其他支出</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26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39907</w:t>
            </w:r>
          </w:p>
        </w:tc>
        <w:tc>
          <w:tcPr>
            <w:tcW w:w="44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2682" w:type="dxa"/>
            <w:tcBorders>
              <w:top w:val="nil"/>
              <w:left w:val="nil"/>
              <w:bottom w:val="nil"/>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36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2650" w:type="dxa"/>
            <w:tcBorders>
              <w:top w:val="nil"/>
              <w:left w:val="nil"/>
              <w:bottom w:val="nil"/>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 </w:t>
            </w: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39908</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67,077.48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39909</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307</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债务利息及费用支出</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39910</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30701</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39999</w:t>
            </w: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30702</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30703</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国内债务发行费用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35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3616"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overflowPunct/>
              <w:topLinePunct w:val="0"/>
              <w:autoSpaceDE/>
              <w:autoSpaceDN/>
              <w:bidi w:val="0"/>
              <w:adjustRightInd/>
              <w:snapToGrid/>
              <w:spacing w:line="340" w:lineRule="exact"/>
              <w:rPr>
                <w:rFonts w:hint="default" w:ascii="Times New Roman" w:hAnsi="Times New Roman" w:cs="Times New Roman" w:eastAsiaTheme="minorEastAsia"/>
                <w:i w:val="0"/>
                <w:iCs w:val="0"/>
                <w:color w:val="000000"/>
                <w:sz w:val="22"/>
                <w:szCs w:val="22"/>
                <w:u w:val="none"/>
              </w:rPr>
            </w:pPr>
          </w:p>
        </w:tc>
        <w:tc>
          <w:tcPr>
            <w:tcW w:w="12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30704</w:t>
            </w:r>
          </w:p>
        </w:tc>
        <w:tc>
          <w:tcPr>
            <w:tcW w:w="28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 xml:space="preserve">  国外债务发行费用</w:t>
            </w:r>
          </w:p>
        </w:tc>
        <w:tc>
          <w:tcPr>
            <w:tcW w:w="236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cs="Times New Roman"/>
                <w:color w:val="000000"/>
                <w:sz w:val="22"/>
                <w:szCs w:val="22"/>
              </w:rPr>
              <w:t xml:space="preserve"> </w:t>
            </w:r>
          </w:p>
        </w:tc>
        <w:tc>
          <w:tcPr>
            <w:tcW w:w="11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4467" w:type="dxa"/>
            <w:tcBorders>
              <w:top w:val="nil"/>
              <w:left w:val="nil"/>
              <w:bottom w:val="single" w:color="000000" w:sz="4" w:space="0"/>
              <w:right w:val="nil"/>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left"/>
              <w:rPr>
                <w:rFonts w:hint="eastAsia" w:ascii="宋体" w:hAnsi="宋体" w:eastAsia="宋体" w:cs="宋体"/>
                <w:i w:val="0"/>
                <w:iCs w:val="0"/>
                <w:color w:val="000000"/>
                <w:sz w:val="22"/>
                <w:szCs w:val="22"/>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340" w:lineRule="exact"/>
              <w:jc w:val="right"/>
              <w:rPr>
                <w:rFonts w:hint="default" w:ascii="Times New Roman" w:hAnsi="Times New Roman" w:eastAsia="宋体" w:cs="Times New Roman"/>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967"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人员经费合计</w:t>
            </w:r>
          </w:p>
        </w:tc>
        <w:tc>
          <w:tcPr>
            <w:tcW w:w="265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val="0"/>
              <w:overflowPunct/>
              <w:topLinePunct w:val="0"/>
              <w:autoSpaceDE/>
              <w:autoSpaceDN/>
              <w:bidi w:val="0"/>
              <w:adjustRightInd/>
              <w:snapToGrid/>
              <w:spacing w:line="340" w:lineRule="exact"/>
              <w:jc w:val="right"/>
              <w:textAlignment w:val="bottom"/>
              <w:rPr>
                <w:rFonts w:hint="default" w:ascii="Times New Roman" w:hAnsi="Times New Roman" w:cs="Times New Roman" w:eastAsiaTheme="minorEastAsia"/>
                <w:i w:val="0"/>
                <w:iCs w:val="0"/>
                <w:color w:val="000000"/>
                <w:sz w:val="22"/>
                <w:szCs w:val="22"/>
                <w:u w:val="none"/>
              </w:rPr>
            </w:pPr>
            <w:r>
              <w:rPr>
                <w:rFonts w:hint="default" w:ascii="Times New Roman" w:hAnsi="Times New Roman" w:cs="Times New Roman" w:eastAsiaTheme="minorEastAsia"/>
                <w:color w:val="000000"/>
                <w:sz w:val="22"/>
                <w:szCs w:val="22"/>
              </w:rPr>
              <w:t xml:space="preserve">2,198,405.58 </w:t>
            </w:r>
          </w:p>
        </w:tc>
        <w:tc>
          <w:tcPr>
            <w:tcW w:w="12067" w:type="dxa"/>
            <w:gridSpan w:val="5"/>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34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公用经费合计</w:t>
            </w:r>
          </w:p>
        </w:tc>
        <w:tc>
          <w:tcPr>
            <w:tcW w:w="26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340" w:lineRule="exact"/>
              <w:jc w:val="right"/>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152,082.78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3039" w:type="dxa"/>
        <w:tblInd w:w="-22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17"/>
        <w:gridCol w:w="316"/>
        <w:gridCol w:w="334"/>
        <w:gridCol w:w="1816"/>
        <w:gridCol w:w="1528"/>
        <w:gridCol w:w="1378"/>
        <w:gridCol w:w="1494"/>
        <w:gridCol w:w="1784"/>
        <w:gridCol w:w="1666"/>
        <w:gridCol w:w="1684"/>
        <w:gridCol w:w="1750"/>
        <w:gridCol w:w="1700"/>
        <w:gridCol w:w="1733"/>
        <w:gridCol w:w="1583"/>
        <w:gridCol w:w="1334"/>
        <w:gridCol w:w="14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3" w:hRule="atLeast"/>
        </w:trPr>
        <w:tc>
          <w:tcPr>
            <w:tcW w:w="23039" w:type="dxa"/>
            <w:gridSpan w:val="17"/>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sz w:val="20"/>
                <w:szCs w:val="20"/>
                <w:lang w:eastAsia="zh-CN"/>
              </w:rPr>
              <w:t>单位</w:t>
            </w:r>
            <w:r>
              <w:rPr>
                <w:rFonts w:cs="宋体"/>
                <w:color w:val="000000"/>
                <w:sz w:val="20"/>
                <w:szCs w:val="20"/>
              </w:rPr>
              <w:t>：</w:t>
            </w:r>
            <w:r>
              <w:rPr>
                <w:color w:val="000000"/>
                <w:sz w:val="20"/>
                <w:u w:color="auto"/>
              </w:rPr>
              <w:t>秀山土家族苗族自治县基层卫生管理中心</w:t>
            </w: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r>
              <w:rPr>
                <w:rFonts w:hint="eastAsia" w:cs="宋体"/>
                <w:i w:val="0"/>
                <w:iCs w:val="0"/>
                <w:color w:val="000000"/>
                <w:kern w:val="0"/>
                <w:sz w:val="20"/>
                <w:szCs w:val="20"/>
                <w:u w:val="none"/>
                <w:lang w:val="en-US" w:eastAsia="zh-CN" w:bidi="ar"/>
              </w:rPr>
              <w:t>7</w:t>
            </w:r>
            <w:r>
              <w:rPr>
                <w:rFonts w:hint="eastAsia" w:ascii="宋体" w:hAnsi="宋体" w:eastAsia="宋体" w:cs="宋体"/>
                <w:i w:val="0"/>
                <w:iCs w:val="0"/>
                <w:color w:val="000000"/>
                <w:kern w:val="0"/>
                <w:sz w:val="20"/>
                <w:szCs w:val="20"/>
                <w:u w:val="none"/>
                <w:lang w:val="en-US" w:eastAsia="zh-CN" w:bidi="ar"/>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2" w:hRule="atLeast"/>
        </w:trPr>
        <w:tc>
          <w:tcPr>
            <w:tcW w:w="21883" w:type="dxa"/>
            <w:gridSpan w:val="16"/>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115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1816"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440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5134"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5183"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5539"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78"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149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c>
          <w:tcPr>
            <w:tcW w:w="17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6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68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75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700"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w:t>
            </w:r>
          </w:p>
        </w:tc>
        <w:tc>
          <w:tcPr>
            <w:tcW w:w="173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w:t>
            </w:r>
          </w:p>
        </w:tc>
        <w:tc>
          <w:tcPr>
            <w:tcW w:w="1583"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基本支出结转</w:t>
            </w:r>
          </w:p>
        </w:tc>
        <w:tc>
          <w:tcPr>
            <w:tcW w:w="262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bCs/>
                <w:i w:val="0"/>
                <w:iCs w:val="0"/>
                <w:color w:val="000000"/>
                <w:sz w:val="22"/>
                <w:szCs w:val="22"/>
                <w:u w:val="none"/>
              </w:rPr>
            </w:pPr>
          </w:p>
        </w:tc>
        <w:tc>
          <w:tcPr>
            <w:tcW w:w="146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项目支出结转</w:t>
            </w:r>
          </w:p>
        </w:tc>
        <w:tc>
          <w:tcPr>
            <w:tcW w:w="115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项目支出结余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816" w:type="dxa"/>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2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78"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9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68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5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00"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73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583"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46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c>
          <w:tcPr>
            <w:tcW w:w="115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1" w:hRule="atLeast"/>
        </w:trPr>
        <w:tc>
          <w:tcPr>
            <w:tcW w:w="317"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16"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34" w:type="dxa"/>
            <w:vMerge w:val="restart"/>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8" w:hRule="atLeast"/>
        </w:trPr>
        <w:tc>
          <w:tcPr>
            <w:tcW w:w="317" w:type="dxa"/>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16"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334" w:type="dxa"/>
            <w:vMerge w:val="continue"/>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b/>
                <w:bCs/>
                <w:i w:val="0"/>
                <w:iCs w:val="0"/>
                <w:color w:val="000000"/>
                <w:sz w:val="22"/>
                <w:szCs w:val="22"/>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2"/>
                <w:szCs w:val="22"/>
                <w:u w:val="none"/>
                <w:lang w:val="en-US" w:eastAsia="zh-CN" w:bidi="ar"/>
              </w:rPr>
              <w:t>合计</w:t>
            </w: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0.00</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cs="Times New Roman"/>
                <w:b/>
                <w:bCs/>
                <w:color w:val="000000"/>
                <w:sz w:val="20"/>
                <w:szCs w:val="20"/>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2" w:hRule="atLeast"/>
        </w:trPr>
        <w:tc>
          <w:tcPr>
            <w:tcW w:w="96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81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center"/>
              <w:rPr>
                <w:rFonts w:hint="eastAsia" w:ascii="宋体" w:hAnsi="宋体" w:eastAsia="宋体" w:cs="宋体"/>
                <w:i w:val="0"/>
                <w:iCs w:val="0"/>
                <w:color w:val="000000"/>
                <w:sz w:val="20"/>
                <w:szCs w:val="20"/>
                <w:u w:val="none"/>
              </w:rPr>
            </w:pPr>
          </w:p>
        </w:tc>
        <w:tc>
          <w:tcPr>
            <w:tcW w:w="152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78"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9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68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5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73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58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334"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46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c>
          <w:tcPr>
            <w:tcW w:w="115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right"/>
              <w:textAlignment w:val="center"/>
              <w:rPr>
                <w:rFonts w:hint="default" w:ascii="Times New Roman" w:hAnsi="Times New Roman" w:eastAsia="宋体" w:cs="Times New Roman"/>
                <w:b w:val="0"/>
                <w:bCs w:val="0"/>
                <w:i w:val="0"/>
                <w:iCs w:val="0"/>
                <w:color w:val="000000"/>
                <w:sz w:val="20"/>
                <w:szCs w:val="20"/>
                <w:u w:val="none"/>
              </w:rPr>
            </w:pPr>
            <w:r>
              <w:rPr>
                <w:rFonts w:hint="default" w:ascii="Times New Roman" w:hAnsi="Times New Roman" w:cs="Times New Roman"/>
                <w:b w:val="0"/>
                <w:bCs w:val="0"/>
                <w:color w:val="000000"/>
                <w:sz w:val="20"/>
                <w:szCs w:val="20"/>
              </w:rPr>
              <w:t xml:space="preserve">0.00 </w:t>
            </w:r>
          </w:p>
        </w:tc>
      </w:tr>
    </w:tbl>
    <w:p>
      <w:p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213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1"/>
        <w:gridCol w:w="350"/>
        <w:gridCol w:w="350"/>
        <w:gridCol w:w="2664"/>
        <w:gridCol w:w="2437"/>
        <w:gridCol w:w="2063"/>
        <w:gridCol w:w="2186"/>
        <w:gridCol w:w="2482"/>
        <w:gridCol w:w="2400"/>
        <w:gridCol w:w="2307"/>
        <w:gridCol w:w="2287"/>
        <w:gridCol w:w="196"/>
        <w:gridCol w:w="2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90" w:hRule="atLeast"/>
        </w:trPr>
        <w:tc>
          <w:tcPr>
            <w:tcW w:w="22139" w:type="dxa"/>
            <w:gridSpan w:val="13"/>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b/>
                <w:bCs/>
                <w:i w:val="0"/>
                <w:iCs w:val="0"/>
                <w:color w:val="000000"/>
                <w:kern w:val="0"/>
                <w:sz w:val="30"/>
                <w:szCs w:val="30"/>
                <w:u w:val="none"/>
                <w:lang w:val="en-US" w:eastAsia="zh-CN" w:bidi="ar"/>
              </w:rPr>
              <w:t>国有资本经营预算财政拨款收入支出决算表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20023" w:type="dxa"/>
            <w:gridSpan w:val="12"/>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秀山土家族苗族自治县基层卫生管理中心</w:t>
            </w:r>
          </w:p>
        </w:tc>
        <w:tc>
          <w:tcPr>
            <w:tcW w:w="211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20023" w:type="dxa"/>
            <w:gridSpan w:val="12"/>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211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科目代码</w:t>
            </w:r>
          </w:p>
        </w:tc>
        <w:tc>
          <w:tcPr>
            <w:tcW w:w="2664"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科目名称</w:t>
            </w:r>
          </w:p>
        </w:tc>
        <w:tc>
          <w:tcPr>
            <w:tcW w:w="6686"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年初结转和结余</w:t>
            </w:r>
          </w:p>
        </w:tc>
        <w:tc>
          <w:tcPr>
            <w:tcW w:w="248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w:t>
            </w:r>
          </w:p>
        </w:tc>
        <w:tc>
          <w:tcPr>
            <w:tcW w:w="240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w:t>
            </w:r>
          </w:p>
        </w:tc>
        <w:tc>
          <w:tcPr>
            <w:tcW w:w="6906"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3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063"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186"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30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287"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结转</w:t>
            </w:r>
          </w:p>
        </w:tc>
        <w:tc>
          <w:tcPr>
            <w:tcW w:w="2312" w:type="dxa"/>
            <w:gridSpan w:val="2"/>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100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64"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3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063"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186"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400"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0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287"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312" w:type="dxa"/>
            <w:gridSpan w:val="2"/>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301"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类</w:t>
            </w:r>
          </w:p>
        </w:tc>
        <w:tc>
          <w:tcPr>
            <w:tcW w:w="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款</w:t>
            </w:r>
          </w:p>
        </w:tc>
        <w:tc>
          <w:tcPr>
            <w:tcW w:w="350" w:type="dxa"/>
            <w:vMerge w:val="restart"/>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w:t>
            </w:r>
          </w:p>
        </w:tc>
        <w:tc>
          <w:tcPr>
            <w:tcW w:w="26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栏次</w:t>
            </w: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301"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350" w:type="dxa"/>
            <w:vMerge w:val="continue"/>
            <w:tcBorders>
              <w:top w:val="nil"/>
              <w:left w:val="nil"/>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bCs/>
                <w:i w:val="0"/>
                <w:iCs w:val="0"/>
                <w:color w:val="000000"/>
                <w:sz w:val="22"/>
                <w:szCs w:val="22"/>
                <w:u w:val="none"/>
              </w:rPr>
            </w:pPr>
            <w:r>
              <w:rPr>
                <w:rFonts w:hint="default" w:ascii="Times New Roman" w:hAnsi="Times New Roman" w:cs="Times New Roman"/>
                <w:b/>
                <w:bCs/>
                <w:color w:val="000000"/>
                <w:sz w:val="22"/>
                <w:szCs w:val="22"/>
              </w:rPr>
              <w:t xml:space="preserve">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1001" w:type="dxa"/>
            <w:gridSpan w:val="3"/>
            <w:tcBorders>
              <w:top w:val="nil"/>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p>
        </w:tc>
        <w:tc>
          <w:tcPr>
            <w:tcW w:w="2664" w:type="dxa"/>
            <w:tcBorders>
              <w:top w:val="nil"/>
              <w:left w:val="nil"/>
              <w:bottom w:val="single" w:color="000000" w:sz="4" w:space="0"/>
              <w:right w:val="single" w:color="000000" w:sz="4" w:space="0"/>
            </w:tcBorders>
            <w:shd w:val="clear" w:color="auto" w:fill="auto"/>
            <w:vAlign w:val="center"/>
          </w:tcPr>
          <w:p>
            <w:pPr>
              <w:textAlignment w:val="center"/>
              <w:rPr>
                <w:rFonts w:hint="eastAsia" w:ascii="宋体" w:hAnsi="宋体" w:eastAsia="宋体" w:cs="宋体"/>
                <w:i w:val="0"/>
                <w:iCs w:val="0"/>
                <w:color w:val="000000"/>
                <w:sz w:val="22"/>
                <w:szCs w:val="22"/>
                <w:u w:val="none"/>
              </w:rPr>
            </w:pPr>
          </w:p>
        </w:tc>
        <w:tc>
          <w:tcPr>
            <w:tcW w:w="243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063"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18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8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40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0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28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c>
          <w:tcPr>
            <w:tcW w:w="231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val="0"/>
              <w:overflowPunct/>
              <w:topLinePunct w:val="0"/>
              <w:autoSpaceDE/>
              <w:autoSpaceDN/>
              <w:bidi w:val="0"/>
              <w:adjustRightInd/>
              <w:snapToGrid/>
              <w:spacing w:line="400" w:lineRule="exact"/>
              <w:jc w:val="right"/>
              <w:textAlignment w:val="center"/>
              <w:rPr>
                <w:rFonts w:hint="default" w:ascii="Times New Roman" w:hAnsi="Times New Roman" w:eastAsia="宋体" w:cs="Times New Roman"/>
                <w:b w:val="0"/>
                <w:bCs w:val="0"/>
                <w:i w:val="0"/>
                <w:iCs w:val="0"/>
                <w:color w:val="000000"/>
                <w:sz w:val="22"/>
                <w:szCs w:val="22"/>
                <w:u w:val="none"/>
              </w:rPr>
            </w:pPr>
            <w:r>
              <w:rPr>
                <w:rFonts w:hint="default" w:ascii="Times New Roman" w:hAnsi="Times New Roman" w:cs="Times New Roman"/>
                <w:b w:val="0"/>
                <w:bCs w:val="0"/>
                <w:color w:val="000000"/>
                <w:sz w:val="22"/>
                <w:szCs w:val="22"/>
              </w:rPr>
              <w:t xml:space="preserve">0.00 </w:t>
            </w:r>
          </w:p>
        </w:tc>
      </w:tr>
    </w:tbl>
    <w:p>
      <w:pPr>
        <w:numPr>
          <w:ilvl w:val="0"/>
          <w:numId w:val="0"/>
        </w:numPr>
        <w:rPr>
          <w:rFonts w:hint="eastAsia" w:ascii="宋体" w:hAnsi="宋体" w:eastAsia="宋体" w:cs="宋体"/>
          <w:sz w:val="21"/>
          <w:szCs w:val="21"/>
        </w:rPr>
      </w:pPr>
      <w:r>
        <w:rPr>
          <w:rFonts w:hint="eastAsia" w:ascii="宋体" w:hAnsi="宋体" w:eastAsia="宋体" w:cs="宋体"/>
          <w:sz w:val="21"/>
          <w:szCs w:val="21"/>
        </w:rPr>
        <w:br w:type="page"/>
      </w:r>
    </w:p>
    <w:tbl>
      <w:tblPr>
        <w:tblStyle w:val="10"/>
        <w:tblW w:w="2030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7"/>
        <w:gridCol w:w="867"/>
        <w:gridCol w:w="4383"/>
        <w:gridCol w:w="5317"/>
        <w:gridCol w:w="883"/>
        <w:gridCol w:w="42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40" w:hRule="atLeast"/>
        </w:trPr>
        <w:tc>
          <w:tcPr>
            <w:tcW w:w="20301" w:type="dxa"/>
            <w:gridSpan w:val="6"/>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b/>
                <w:bCs/>
                <w:i w:val="0"/>
                <w:iCs w:val="0"/>
                <w:color w:val="000000"/>
                <w:kern w:val="0"/>
                <w:sz w:val="30"/>
                <w:szCs w:val="30"/>
                <w:u w:val="none"/>
                <w:lang w:val="en-US" w:eastAsia="zh-CN" w:bidi="ar"/>
              </w:rPr>
              <w:t>机构运行信息决算表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6017" w:type="dxa"/>
            <w:gridSpan w:val="5"/>
            <w:vMerge w:val="restart"/>
            <w:tcBorders>
              <w:top w:val="nil"/>
              <w:left w:val="nil"/>
              <w:right w:val="nil"/>
            </w:tcBorders>
            <w:shd w:val="clear" w:color="auto" w:fill="auto"/>
            <w:vAlign w:val="bottom"/>
          </w:tcPr>
          <w:p>
            <w:pPr>
              <w:rPr>
                <w:rFonts w:hint="default" w:ascii="Arial" w:hAnsi="Arial" w:eastAsia="宋体" w:cs="Arial"/>
                <w:i w:val="0"/>
                <w:iCs w:val="0"/>
                <w:color w:val="000000"/>
                <w:sz w:val="20"/>
                <w:szCs w:val="20"/>
                <w:u w:val="none"/>
              </w:rPr>
            </w:pPr>
            <w:r>
              <w:rPr>
                <w:rFonts w:hint="eastAsia" w:cs="宋体"/>
                <w:color w:val="000000"/>
                <w:sz w:val="20"/>
                <w:szCs w:val="20"/>
                <w:lang w:eastAsia="zh-CN"/>
              </w:rPr>
              <w:t>单位</w:t>
            </w:r>
            <w:r>
              <w:rPr>
                <w:rFonts w:cs="宋体"/>
                <w:color w:val="000000"/>
                <w:sz w:val="20"/>
                <w:szCs w:val="20"/>
              </w:rPr>
              <w:t>：</w:t>
            </w:r>
            <w:r>
              <w:rPr>
                <w:color w:val="000000"/>
                <w:sz w:val="20"/>
                <w:u w:color="auto"/>
              </w:rPr>
              <w:t>秀山土家族苗族自治县基层卫生管理中心</w:t>
            </w:r>
          </w:p>
        </w:tc>
        <w:tc>
          <w:tcPr>
            <w:tcW w:w="428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trPr>
        <w:tc>
          <w:tcPr>
            <w:tcW w:w="16017" w:type="dxa"/>
            <w:gridSpan w:val="5"/>
            <w:vMerge w:val="continue"/>
            <w:tcBorders>
              <w:left w:val="nil"/>
              <w:bottom w:val="nil"/>
              <w:right w:val="nil"/>
            </w:tcBorders>
            <w:shd w:val="clear" w:color="auto" w:fill="auto"/>
            <w:vAlign w:val="bottom"/>
          </w:tcPr>
          <w:p>
            <w:pPr>
              <w:rPr>
                <w:rFonts w:hint="default" w:ascii="Arial" w:hAnsi="Arial" w:eastAsia="宋体" w:cs="Arial"/>
                <w:i w:val="0"/>
                <w:iCs w:val="0"/>
                <w:color w:val="000000"/>
                <w:sz w:val="20"/>
                <w:szCs w:val="20"/>
                <w:u w:val="none"/>
              </w:rPr>
            </w:pPr>
          </w:p>
        </w:tc>
        <w:tc>
          <w:tcPr>
            <w:tcW w:w="4284"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r>
              <w:rPr>
                <w:rFonts w:hint="eastAsia" w:cs="宋体"/>
                <w:i w:val="0"/>
                <w:iCs w:val="0"/>
                <w:color w:val="000000"/>
                <w:kern w:val="0"/>
                <w:sz w:val="20"/>
                <w:szCs w:val="20"/>
                <w:u w:val="none"/>
                <w:lang w:val="en-US" w:eastAsia="zh-CN" w:bidi="ar"/>
              </w:rPr>
              <w:t>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6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383"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c>
          <w:tcPr>
            <w:tcW w:w="531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  目</w:t>
            </w:r>
          </w:p>
        </w:tc>
        <w:tc>
          <w:tcPr>
            <w:tcW w:w="883"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行次</w:t>
            </w:r>
          </w:p>
        </w:tc>
        <w:tc>
          <w:tcPr>
            <w:tcW w:w="4284"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一、“三公”经费支出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五、机关运行经费</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（一）支出合计</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（一）行政单位</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（二）参照公务员法管理事业单位</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2．公务用车购置及运行维护费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六、资产信息</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（1）公务用车购置费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（一）车辆数合计（辆）</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（2）公务用车运行维护费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1．副部（省）级及以上领导用车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2．主要领导干部用车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（1）国内接待费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3．机要通信用车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4．应急保障用车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（2）国（境）外接待费</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5．执法执勤用车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（二）相关统计数</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w:t>
            </w: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6．特种专业技术用车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1．因公出国（境）团组数（个）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7．离退休干部用车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36</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2．因公出国（境）人次数（人）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8．其他用车</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37</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3．公务用车购置数（辆）</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（二）单价100万元（含）以上设备（不含车辆）</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38</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4．公务用车保有量（辆）</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七、政府采购支出信息</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39</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5．国内公务接待批次（个）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16</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（一）政府采购支出合计</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40</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1．政府采购货物支出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41</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6．国内公务接待人次（人）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2．政府采购工程支出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42</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其中：外事接待人次（人）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3．政府采购服务支出</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43</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7．国（境）外公务接待批次（个）</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（二）政府采购授予中小企业合同金额</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8．国（境）外公务接待人次（人）</w:t>
            </w:r>
          </w:p>
        </w:tc>
        <w:tc>
          <w:tcPr>
            <w:tcW w:w="867"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21</w:t>
            </w:r>
          </w:p>
        </w:tc>
        <w:tc>
          <w:tcPr>
            <w:tcW w:w="4383"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 xml:space="preserve">        其中：授予小微企业合同金额</w:t>
            </w:r>
          </w:p>
        </w:tc>
        <w:tc>
          <w:tcPr>
            <w:tcW w:w="883" w:type="dxa"/>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45</w:t>
            </w: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nil"/>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二、会议费</w:t>
            </w:r>
          </w:p>
        </w:tc>
        <w:tc>
          <w:tcPr>
            <w:tcW w:w="867" w:type="dxa"/>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22</w:t>
            </w:r>
          </w:p>
        </w:tc>
        <w:tc>
          <w:tcPr>
            <w:tcW w:w="4383" w:type="dxa"/>
            <w:tcBorders>
              <w:top w:val="single" w:color="000000" w:sz="4" w:space="0"/>
              <w:left w:val="single" w:color="000000" w:sz="4" w:space="0"/>
              <w:bottom w:val="single" w:color="auto"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p>
        </w:tc>
        <w:tc>
          <w:tcPr>
            <w:tcW w:w="5317" w:type="dxa"/>
            <w:tcBorders>
              <w:top w:val="nil"/>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三、培训费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23</w:t>
            </w:r>
          </w:p>
        </w:tc>
        <w:tc>
          <w:tcPr>
            <w:tcW w:w="4383" w:type="dxa"/>
            <w:tcBorders>
              <w:top w:val="single" w:color="auto" w:sz="4" w:space="0"/>
              <w:left w:val="single" w:color="auto" w:sz="4" w:space="0"/>
              <w:bottom w:val="single" w:color="000000" w:sz="4" w:space="0"/>
              <w:right w:val="single" w:color="auto"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iCs w:val="0"/>
                <w:color w:val="000000"/>
                <w:sz w:val="22"/>
                <w:szCs w:val="22"/>
                <w:u w:val="none"/>
              </w:rPr>
            </w:pPr>
            <w:r>
              <w:rPr>
                <w:rFonts w:hint="default" w:ascii="Times New Roman" w:hAnsi="Times New Roman" w:cs="Times New Roman"/>
                <w:color w:val="000000"/>
                <w:sz w:val="22"/>
                <w:szCs w:val="22"/>
              </w:rPr>
              <w:t>1,745.00</w:t>
            </w: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2"/>
                <w:szCs w:val="22"/>
                <w:u w:val="none"/>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8" w:hRule="atLeast"/>
        </w:trPr>
        <w:tc>
          <w:tcPr>
            <w:tcW w:w="45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四、差旅费</w:t>
            </w:r>
          </w:p>
        </w:tc>
        <w:tc>
          <w:tcPr>
            <w:tcW w:w="8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color w:val="000000"/>
                <w:kern w:val="2"/>
                <w:sz w:val="22"/>
                <w:szCs w:val="22"/>
                <w:u w:val="none"/>
                <w:lang w:val="en-US" w:eastAsia="zh-CN" w:bidi="ar-SA"/>
              </w:rPr>
            </w:pPr>
            <w:r>
              <w:rPr>
                <w:rFonts w:hint="eastAsia" w:ascii="宋体" w:hAnsi="宋体" w:eastAsia="宋体" w:cs="宋体"/>
                <w:b/>
                <w:bCs/>
                <w:i w:val="0"/>
                <w:color w:val="000000"/>
                <w:kern w:val="0"/>
                <w:sz w:val="22"/>
                <w:szCs w:val="22"/>
                <w:u w:val="none"/>
                <w:lang w:val="en-US" w:eastAsia="zh-CN" w:bidi="ar"/>
              </w:rPr>
              <w:t>24</w:t>
            </w:r>
          </w:p>
        </w:tc>
        <w:tc>
          <w:tcPr>
            <w:tcW w:w="4383" w:type="dxa"/>
            <w:tcBorders>
              <w:top w:val="single" w:color="000000" w:sz="4" w:space="0"/>
              <w:left w:val="single" w:color="auto" w:sz="4" w:space="0"/>
              <w:bottom w:val="single" w:color="auto" w:sz="4" w:space="0"/>
              <w:right w:val="single" w:color="auto"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default" w:ascii="Times New Roman" w:hAnsi="Times New Roman" w:eastAsia="宋体" w:cs="Times New Roman"/>
                <w:i w:val="0"/>
                <w:color w:val="000000"/>
                <w:kern w:val="2"/>
                <w:sz w:val="22"/>
                <w:szCs w:val="22"/>
                <w:u w:val="none"/>
                <w:lang w:val="en-US" w:eastAsia="zh-CN" w:bidi="ar-SA"/>
              </w:rPr>
            </w:pPr>
            <w:r>
              <w:rPr>
                <w:rFonts w:hint="default" w:ascii="Times New Roman" w:hAnsi="Times New Roman" w:cs="Times New Roman"/>
                <w:color w:val="000000"/>
                <w:sz w:val="22"/>
                <w:szCs w:val="22"/>
              </w:rPr>
              <w:t>2,105.00</w:t>
            </w:r>
          </w:p>
        </w:tc>
        <w:tc>
          <w:tcPr>
            <w:tcW w:w="531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000000"/>
                <w:sz w:val="22"/>
                <w:szCs w:val="22"/>
                <w:u w:val="none"/>
              </w:rPr>
            </w:pPr>
          </w:p>
        </w:tc>
        <w:tc>
          <w:tcPr>
            <w:tcW w:w="8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p>
        </w:tc>
        <w:tc>
          <w:tcPr>
            <w:tcW w:w="4284" w:type="dxa"/>
            <w:tcBorders>
              <w:top w:val="single" w:color="000000" w:sz="4" w:space="0"/>
              <w:left w:val="single" w:color="auto" w:sz="4" w:space="0"/>
              <w:bottom w:val="single" w:color="000000" w:sz="4" w:space="0"/>
              <w:right w:val="single" w:color="000000" w:sz="4" w:space="0"/>
            </w:tcBorders>
            <w:shd w:val="clear" w:color="auto" w:fill="auto"/>
            <w:vAlign w:val="bottom"/>
          </w:tcPr>
          <w:p>
            <w:pPr>
              <w:keepNext w:val="0"/>
              <w:keepLines w:val="0"/>
              <w:pageBreakBefore w:val="0"/>
              <w:widowControl/>
              <w:kinsoku/>
              <w:wordWrap/>
              <w:overflowPunct/>
              <w:topLinePunct w:val="0"/>
              <w:autoSpaceDE/>
              <w:autoSpaceDN/>
              <w:bidi w:val="0"/>
              <w:adjustRightInd/>
              <w:snapToGrid/>
              <w:spacing w:line="400" w:lineRule="exact"/>
              <w:rPr>
                <w:rFonts w:hint="default" w:ascii="Arial" w:hAnsi="Arial" w:eastAsia="宋体" w:cs="Arial"/>
                <w:i w:val="0"/>
                <w:iCs w:val="0"/>
                <w:color w:val="000000"/>
                <w:sz w:val="20"/>
                <w:szCs w:val="20"/>
                <w:u w:val="none"/>
              </w:rPr>
            </w:pPr>
          </w:p>
        </w:tc>
      </w:tr>
    </w:tbl>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rPr>
          <w:rFonts w:hint="eastAsia" w:ascii="宋体" w:hAnsi="宋体" w:eastAsia="宋体" w:cs="宋体"/>
          <w:color w:val="000000"/>
          <w:sz w:val="21"/>
          <w:szCs w:val="21"/>
          <w:lang w:bidi="ar"/>
        </w:rPr>
      </w:pPr>
    </w:p>
    <w:p>
      <w:pPr>
        <w:pStyle w:val="11"/>
        <w:autoSpaceDE w:val="0"/>
        <w:ind w:firstLine="0" w:firstLineChars="0"/>
        <w:rPr>
          <w:rFonts w:hint="default" w:ascii="宋体" w:hAnsi="宋体" w:eastAsia="宋体" w:cs="宋体"/>
          <w:sz w:val="21"/>
          <w:szCs w:val="21"/>
        </w:rPr>
      </w:pPr>
    </w:p>
    <w:sectPr>
      <w:headerReference r:id="rId6" w:type="default"/>
      <w:footerReference r:id="rId7" w:type="default"/>
      <w:pgSz w:w="23811" w:h="16838" w:orient="landscape"/>
      <w:pgMar w:top="567" w:right="454" w:bottom="567" w:left="1037" w:header="0" w:footer="283"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Kc1bQVAgAAFQQAAA4AAAAAAAAA&#10;AQAgAAAAHwEAAGRycy9lMm9Eb2MueG1sUEsFBgAAAAAGAAYAWQEAAKYFAAAAAA==&#10;">
              <v:fill on="f" focussize="0,0"/>
              <v:stroke on="f" weight="0.5pt"/>
              <v:imagedata o:title=""/>
              <o:lock v:ext="edit" aspectratio="f"/>
              <v:textbox inset="0mm,0mm,0mm,0mm" style="mso-fit-shape-to-text:t;">
                <w:txbxContent>
                  <w:p>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4"/>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gNVFTYAAAACgEAAA8A&#10;AAAAAAAAAQAgAAAAIgAAAGRycy9kb3ducmV2LnhtbFBLAQIUABQAAAAIAIdO4kBbc1QQFwIAABQE&#10;AAAOAAAAAAAAAAEAIAAAACcBAABkcnMvZTJvRG9jLnhtbFBLBQYAAAAABgAGAFkBAACwBQAAAAA=&#10;">
              <v:fill on="f" focussize="0,0"/>
              <v:stroke on="f" weight="0.5pt"/>
              <v:imagedata o:title=""/>
              <o:lock v:ext="edit" aspectratio="f"/>
              <v:textbox inset="0mm,0mm,0mm,0mm">
                <w:txbxContent>
                  <w:p>
                    <w:pPr>
                      <w:pStyle w:val="4"/>
                      <w:jc w:val="both"/>
                      <w:rPr>
                        <w:rFonts w:hint="default" w:cs="宋体"/>
                      </w:rPr>
                    </w:pPr>
                    <w:r>
                      <w:rPr>
                        <w:rFonts w:cs="宋体"/>
                      </w:rPr>
                      <w:t>— 27.1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hint="default"/>
      </w:rPr>
    </w:pPr>
    <w: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4"/>
                      <w:rPr>
                        <w:rFonts w:hint="default"/>
                      </w:rPr>
                    </w:pPr>
                    <w:r>
                      <w:t xml:space="preserve"> </w:t>
                    </w:r>
                    <w:r>
                      <w:fldChar w:fldCharType="begin"/>
                    </w:r>
                    <w:r>
                      <w:instrText xml:space="preserve">PAGE   \* MERGEFORMAT</w:instrText>
                    </w:r>
                    <w:r>
                      <w:fldChar w:fldCharType="separate"/>
                    </w:r>
                    <w:r>
                      <w:rPr>
                        <w:rFonts w:hint="default"/>
                        <w:lang w:val="zh-CN"/>
                      </w:rPr>
                      <w:t>28</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4"/>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4"/>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1758"/>
        <w:tab w:val="clear" w:pos="4153"/>
        <w:tab w:val="clear" w:pos="8306"/>
      </w:tabs>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550ABE"/>
    <w:rsid w:val="007B419D"/>
    <w:rsid w:val="009B67B8"/>
    <w:rsid w:val="00B03CCD"/>
    <w:rsid w:val="00FE7556"/>
    <w:rsid w:val="01474EBF"/>
    <w:rsid w:val="01F3521E"/>
    <w:rsid w:val="03E3214F"/>
    <w:rsid w:val="04446191"/>
    <w:rsid w:val="044C50BA"/>
    <w:rsid w:val="06A2550B"/>
    <w:rsid w:val="06F80EE2"/>
    <w:rsid w:val="07001CCA"/>
    <w:rsid w:val="075678DB"/>
    <w:rsid w:val="08051BCA"/>
    <w:rsid w:val="08195219"/>
    <w:rsid w:val="08887FC5"/>
    <w:rsid w:val="08BA052C"/>
    <w:rsid w:val="08DB07BA"/>
    <w:rsid w:val="098305D0"/>
    <w:rsid w:val="09B72B6E"/>
    <w:rsid w:val="0A3851D8"/>
    <w:rsid w:val="0A573179"/>
    <w:rsid w:val="0A5C4B69"/>
    <w:rsid w:val="0AEC3BC7"/>
    <w:rsid w:val="0B9335CE"/>
    <w:rsid w:val="0C7927C4"/>
    <w:rsid w:val="0C9B098C"/>
    <w:rsid w:val="0CFB0B5A"/>
    <w:rsid w:val="0D11728C"/>
    <w:rsid w:val="0D6221D9"/>
    <w:rsid w:val="0D673E11"/>
    <w:rsid w:val="0DB50EFE"/>
    <w:rsid w:val="0DDA54E4"/>
    <w:rsid w:val="0E3A5F83"/>
    <w:rsid w:val="0F836721"/>
    <w:rsid w:val="103645A3"/>
    <w:rsid w:val="107B59E5"/>
    <w:rsid w:val="11003CB0"/>
    <w:rsid w:val="110A0874"/>
    <w:rsid w:val="111445C7"/>
    <w:rsid w:val="1158083A"/>
    <w:rsid w:val="11F03528"/>
    <w:rsid w:val="12C921C4"/>
    <w:rsid w:val="13850DCB"/>
    <w:rsid w:val="13871C70"/>
    <w:rsid w:val="13A71CB4"/>
    <w:rsid w:val="13AF1D43"/>
    <w:rsid w:val="13CE1647"/>
    <w:rsid w:val="141A11EA"/>
    <w:rsid w:val="14200702"/>
    <w:rsid w:val="148E377E"/>
    <w:rsid w:val="1580711B"/>
    <w:rsid w:val="15D97A56"/>
    <w:rsid w:val="189B0D0B"/>
    <w:rsid w:val="194A1770"/>
    <w:rsid w:val="19917D9C"/>
    <w:rsid w:val="19B906A4"/>
    <w:rsid w:val="1A1F744B"/>
    <w:rsid w:val="1A4854EC"/>
    <w:rsid w:val="1B6F15B6"/>
    <w:rsid w:val="1BAA2EDC"/>
    <w:rsid w:val="1BB97D27"/>
    <w:rsid w:val="1CE157EE"/>
    <w:rsid w:val="1D014A01"/>
    <w:rsid w:val="1D022362"/>
    <w:rsid w:val="1DD26311"/>
    <w:rsid w:val="1EF67CA4"/>
    <w:rsid w:val="1FCD26AF"/>
    <w:rsid w:val="20642787"/>
    <w:rsid w:val="20B0631D"/>
    <w:rsid w:val="21556F04"/>
    <w:rsid w:val="22403BD3"/>
    <w:rsid w:val="23C91CAA"/>
    <w:rsid w:val="24B92327"/>
    <w:rsid w:val="2533755C"/>
    <w:rsid w:val="26396DF4"/>
    <w:rsid w:val="27167136"/>
    <w:rsid w:val="27B23302"/>
    <w:rsid w:val="29310A5F"/>
    <w:rsid w:val="29C37A35"/>
    <w:rsid w:val="29C95E09"/>
    <w:rsid w:val="2A076083"/>
    <w:rsid w:val="2A73162E"/>
    <w:rsid w:val="2B167953"/>
    <w:rsid w:val="2B200583"/>
    <w:rsid w:val="2B8209DE"/>
    <w:rsid w:val="2C161D32"/>
    <w:rsid w:val="2C2D3EC7"/>
    <w:rsid w:val="2C6762A3"/>
    <w:rsid w:val="2D8D2A49"/>
    <w:rsid w:val="2DD15885"/>
    <w:rsid w:val="2E8F5B29"/>
    <w:rsid w:val="2FE029D7"/>
    <w:rsid w:val="2FF06E00"/>
    <w:rsid w:val="315D199F"/>
    <w:rsid w:val="315F0B22"/>
    <w:rsid w:val="31D84415"/>
    <w:rsid w:val="32285F6F"/>
    <w:rsid w:val="32770556"/>
    <w:rsid w:val="329C0913"/>
    <w:rsid w:val="3337290D"/>
    <w:rsid w:val="352930DB"/>
    <w:rsid w:val="35573069"/>
    <w:rsid w:val="358C217E"/>
    <w:rsid w:val="359F188C"/>
    <w:rsid w:val="362D2433"/>
    <w:rsid w:val="36C9128A"/>
    <w:rsid w:val="37841E99"/>
    <w:rsid w:val="37BF1123"/>
    <w:rsid w:val="37F26E25"/>
    <w:rsid w:val="38BE4696"/>
    <w:rsid w:val="39166507"/>
    <w:rsid w:val="39B82A39"/>
    <w:rsid w:val="39F33306"/>
    <w:rsid w:val="3B1705E5"/>
    <w:rsid w:val="3B18334B"/>
    <w:rsid w:val="3B36794F"/>
    <w:rsid w:val="3B3B4082"/>
    <w:rsid w:val="3B544954"/>
    <w:rsid w:val="3BF014AD"/>
    <w:rsid w:val="3C6A5B02"/>
    <w:rsid w:val="3D2757A1"/>
    <w:rsid w:val="3D3D4FC4"/>
    <w:rsid w:val="3DDF3AB1"/>
    <w:rsid w:val="3DE60B7E"/>
    <w:rsid w:val="3E1D0952"/>
    <w:rsid w:val="3E247234"/>
    <w:rsid w:val="3E42660A"/>
    <w:rsid w:val="3E7555B1"/>
    <w:rsid w:val="3F0527E5"/>
    <w:rsid w:val="3F16459E"/>
    <w:rsid w:val="3F3617F2"/>
    <w:rsid w:val="3FDE15A7"/>
    <w:rsid w:val="4004000C"/>
    <w:rsid w:val="40F95203"/>
    <w:rsid w:val="40FD5440"/>
    <w:rsid w:val="411B6CE5"/>
    <w:rsid w:val="412070D7"/>
    <w:rsid w:val="41314E40"/>
    <w:rsid w:val="4142353C"/>
    <w:rsid w:val="415C674B"/>
    <w:rsid w:val="426C1EA8"/>
    <w:rsid w:val="42E86A87"/>
    <w:rsid w:val="43136432"/>
    <w:rsid w:val="43770A38"/>
    <w:rsid w:val="443A3B12"/>
    <w:rsid w:val="44A854C2"/>
    <w:rsid w:val="44DD597D"/>
    <w:rsid w:val="465B470D"/>
    <w:rsid w:val="469D6AD4"/>
    <w:rsid w:val="474110CB"/>
    <w:rsid w:val="47674801"/>
    <w:rsid w:val="48225EF7"/>
    <w:rsid w:val="495C4A24"/>
    <w:rsid w:val="4AD70EE7"/>
    <w:rsid w:val="4B7951CB"/>
    <w:rsid w:val="4B7C315C"/>
    <w:rsid w:val="4BAB7F90"/>
    <w:rsid w:val="4CB64DA8"/>
    <w:rsid w:val="4DAC4ACA"/>
    <w:rsid w:val="4F186D58"/>
    <w:rsid w:val="4F2026A9"/>
    <w:rsid w:val="5084478E"/>
    <w:rsid w:val="50EC262C"/>
    <w:rsid w:val="522F6E0C"/>
    <w:rsid w:val="52463BA1"/>
    <w:rsid w:val="5276022D"/>
    <w:rsid w:val="53C0244D"/>
    <w:rsid w:val="53DD4D4E"/>
    <w:rsid w:val="53E578CE"/>
    <w:rsid w:val="543B029D"/>
    <w:rsid w:val="545D0246"/>
    <w:rsid w:val="554E5773"/>
    <w:rsid w:val="555A3CBC"/>
    <w:rsid w:val="56530F5D"/>
    <w:rsid w:val="57BE24F0"/>
    <w:rsid w:val="5842572D"/>
    <w:rsid w:val="5AE75037"/>
    <w:rsid w:val="5B58571C"/>
    <w:rsid w:val="5B8376C2"/>
    <w:rsid w:val="5B96133A"/>
    <w:rsid w:val="5BC060EF"/>
    <w:rsid w:val="5C100CD4"/>
    <w:rsid w:val="5C1336B7"/>
    <w:rsid w:val="5C263CE4"/>
    <w:rsid w:val="5C31569E"/>
    <w:rsid w:val="5C5D2777"/>
    <w:rsid w:val="5D290C69"/>
    <w:rsid w:val="5D537F41"/>
    <w:rsid w:val="5EFA176D"/>
    <w:rsid w:val="5F0247F9"/>
    <w:rsid w:val="5F2D4A41"/>
    <w:rsid w:val="601C34ED"/>
    <w:rsid w:val="60A958A9"/>
    <w:rsid w:val="60D22ADB"/>
    <w:rsid w:val="61025A59"/>
    <w:rsid w:val="613D5BBC"/>
    <w:rsid w:val="61536C39"/>
    <w:rsid w:val="62944DD7"/>
    <w:rsid w:val="634D1435"/>
    <w:rsid w:val="63C25DC5"/>
    <w:rsid w:val="63C62057"/>
    <w:rsid w:val="63C73832"/>
    <w:rsid w:val="64FB113D"/>
    <w:rsid w:val="656152C6"/>
    <w:rsid w:val="6587477F"/>
    <w:rsid w:val="658C3A08"/>
    <w:rsid w:val="65C031CA"/>
    <w:rsid w:val="65CE6852"/>
    <w:rsid w:val="66267C04"/>
    <w:rsid w:val="663F505A"/>
    <w:rsid w:val="665C1999"/>
    <w:rsid w:val="667F2393"/>
    <w:rsid w:val="66EE5541"/>
    <w:rsid w:val="68A97056"/>
    <w:rsid w:val="692172FD"/>
    <w:rsid w:val="69CF64EA"/>
    <w:rsid w:val="6A3829EE"/>
    <w:rsid w:val="6A453AC7"/>
    <w:rsid w:val="6B474EF5"/>
    <w:rsid w:val="6C560CAE"/>
    <w:rsid w:val="6D0615E4"/>
    <w:rsid w:val="6D903FF5"/>
    <w:rsid w:val="6DA955B8"/>
    <w:rsid w:val="6DE346AB"/>
    <w:rsid w:val="6F2F4E41"/>
    <w:rsid w:val="6F7F6A2D"/>
    <w:rsid w:val="6FB442D1"/>
    <w:rsid w:val="6FFB2E76"/>
    <w:rsid w:val="71C34D91"/>
    <w:rsid w:val="71ED38AA"/>
    <w:rsid w:val="720229AA"/>
    <w:rsid w:val="72DB435C"/>
    <w:rsid w:val="73113E8A"/>
    <w:rsid w:val="750837F0"/>
    <w:rsid w:val="76044403"/>
    <w:rsid w:val="764F62AB"/>
    <w:rsid w:val="765C45EC"/>
    <w:rsid w:val="768A7619"/>
    <w:rsid w:val="76E14979"/>
    <w:rsid w:val="77EA362A"/>
    <w:rsid w:val="7875383E"/>
    <w:rsid w:val="796D60A4"/>
    <w:rsid w:val="79A031D5"/>
    <w:rsid w:val="7A1525F7"/>
    <w:rsid w:val="7A3E6CB6"/>
    <w:rsid w:val="7A680D2D"/>
    <w:rsid w:val="7B420052"/>
    <w:rsid w:val="7B883D77"/>
    <w:rsid w:val="7BD06A28"/>
    <w:rsid w:val="7C094828"/>
    <w:rsid w:val="7C1E4CD7"/>
    <w:rsid w:val="7C3A7C0B"/>
    <w:rsid w:val="7C5248E4"/>
    <w:rsid w:val="7C566698"/>
    <w:rsid w:val="7FA96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footer"/>
    <w:basedOn w:val="1"/>
    <w:qFormat/>
    <w:uiPriority w:val="0"/>
    <w:pPr>
      <w:tabs>
        <w:tab w:val="center" w:pos="4153"/>
        <w:tab w:val="right" w:pos="8306"/>
      </w:tabs>
      <w:snapToGrid w:val="0"/>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7">
    <w:name w:val="Normal (Web)"/>
    <w:basedOn w:val="1"/>
    <w:unhideWhenUsed/>
    <w:qFormat/>
    <w:uiPriority w:val="0"/>
    <w:pPr>
      <w:spacing w:before="100" w:beforeAutospacing="1" w:after="100" w:afterAutospacing="1"/>
    </w:pPr>
  </w:style>
  <w:style w:type="character" w:styleId="9">
    <w:name w:val="Strong"/>
    <w:qFormat/>
    <w:uiPriority w:val="0"/>
    <w:rPr>
      <w:b/>
    </w:rPr>
  </w:style>
  <w:style w:type="paragraph" w:customStyle="1" w:styleId="11">
    <w:name w:val="列出段落1"/>
    <w:basedOn w:val="1"/>
    <w:qFormat/>
    <w:uiPriority w:val="99"/>
    <w:pPr>
      <w:ind w:firstLine="420" w:firstLineChars="200"/>
    </w:pPr>
    <w:rPr>
      <w:rFonts w:hint="defaul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7711</Words>
  <Characters>21008</Characters>
  <Lines>161</Lines>
  <Paragraphs>45</Paragraphs>
  <TotalTime>1</TotalTime>
  <ScaleCrop>false</ScaleCrop>
  <LinksUpToDate>false</LinksUpToDate>
  <CharactersWithSpaces>21460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cp:lastPrinted>2025-10-15T00:37:00Z</cp:lastPrinted>
  <dcterms:modified xsi:type="dcterms:W3CDTF">2025-10-15T02:08:15Z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