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秀山土家族苗族自治县人力资源服务中心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eastAsia="zh-CN"/>
        </w:rPr>
      </w:pPr>
      <w:r>
        <w:rPr>
          <w:rStyle w:val="8"/>
          <w:rFonts w:hint="eastAsia"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负责全县专业技术人员继续教育管理工作,负责专业技术人员《继续教育登记卡》的审核和继续教育学分认定，负责组织实施各类专业技术人员（职员）培训。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eastAsia="zh-CN"/>
        </w:rPr>
      </w:pPr>
      <w:r>
        <w:rPr>
          <w:rStyle w:val="8"/>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拟订城乡劳动者职业培训政策、规划，拟订技能人才、农村实用人才培养和激励政策并组织实施；拟订技工学校、职业培训机构、职业技能鉴定机构发展规划和管理规则，指导技工学校和职业培训机构师资队伍及教材建设；负责技工学校和县内技能培训机构的业务指导和管理；组织实施县内职业（工种）技能培训、考试、考核鉴定工作；负责市人力社保部门委托的有关职业技能培训、鉴定工作；开展职业技能培训、鉴定咨询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FF0000"/>
          <w:sz w:val="22"/>
          <w:szCs w:val="22"/>
          <w:shd w:val="clear" w:color="auto" w:fill="FFFFFF"/>
          <w:lang w:val="en-US" w:eastAsia="zh-CN"/>
        </w:rPr>
      </w:pPr>
      <w:r>
        <w:rPr>
          <w:rStyle w:val="8"/>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牵头拟订秀山人力资源产业园（以下简称“产业园”）管理运营办法、发展规划；拟订入驻产业园优惠政策；负责企业入驻资格审查、监督管理服务工作；推进产业园招商引资、日常管理和服务工作。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8"/>
          <w:rFonts w:hint="default" w:ascii="Times New Roman" w:hAnsi="Times New Roman" w:eastAsia="方正楷体_GBK" w:cs="Times New Roman"/>
          <w:b w:val="0"/>
          <w:bCs/>
          <w:sz w:val="32"/>
          <w:szCs w:val="32"/>
          <w:shd w:val="clear" w:color="auto" w:fill="FFFFFF"/>
        </w:rPr>
        <w:t>（二）机构设置</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i w:val="0"/>
          <w:iCs w:val="0"/>
          <w:caps w:val="0"/>
          <w:color w:val="333333"/>
          <w:spacing w:val="0"/>
          <w:sz w:val="32"/>
          <w:szCs w:val="32"/>
          <w:shd w:val="clear" w:fill="FFFFFF"/>
          <w:lang w:eastAsia="zh-CN"/>
        </w:rPr>
        <w:t>秀山</w:t>
      </w:r>
      <w:r>
        <w:rPr>
          <w:rFonts w:hint="default" w:ascii="Times New Roman" w:hAnsi="Times New Roman" w:eastAsia="方正仿宋_GBK" w:cs="Times New Roman"/>
          <w:i w:val="0"/>
          <w:iCs w:val="0"/>
          <w:caps w:val="0"/>
          <w:color w:val="333333"/>
          <w:spacing w:val="0"/>
          <w:sz w:val="32"/>
          <w:szCs w:val="32"/>
          <w:shd w:val="clear" w:fill="FFFFFF"/>
        </w:rPr>
        <w:t>县人力资源服务中心为</w:t>
      </w: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秀山县人力资源和社会保障局下属事业单位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个职能科室，人力资源服务中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auto"/>
          <w:sz w:val="32"/>
          <w:szCs w:val="32"/>
          <w:shd w:val="clear" w:color="auto" w:fill="FFFFFF"/>
          <w:lang w:val="en-US" w:eastAsia="zh-CN"/>
        </w:rPr>
      </w:pPr>
      <w:r>
        <w:rPr>
          <w:rStyle w:val="8"/>
          <w:rFonts w:hint="default" w:ascii="Times New Roman" w:hAnsi="Times New Roman" w:eastAsia="方正楷体_GBK" w:cs="Times New Roman"/>
          <w:b w:val="0"/>
          <w:bCs/>
          <w:color w:val="auto"/>
          <w:kern w:val="2"/>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年度收入总计1</w:t>
      </w:r>
      <w:r>
        <w:rPr>
          <w:rFonts w:hint="eastAsia" w:ascii="Times New Roman" w:hAnsi="Times New Roman" w:eastAsia="方正仿宋_GBK" w:cs="Times New Roman"/>
          <w:color w:val="auto"/>
          <w:sz w:val="32"/>
          <w:szCs w:val="32"/>
          <w:shd w:val="clear" w:color="auto" w:fill="FFFFFF"/>
          <w:lang w:val="en-US" w:eastAsia="zh-CN"/>
        </w:rPr>
        <w:t>25.15</w:t>
      </w:r>
      <w:r>
        <w:rPr>
          <w:rFonts w:hint="default" w:ascii="Times New Roman" w:hAnsi="Times New Roman" w:eastAsia="方正仿宋_GBK" w:cs="Times New Roman"/>
          <w:color w:val="auto"/>
          <w:sz w:val="32"/>
          <w:szCs w:val="32"/>
          <w:shd w:val="clear" w:color="auto" w:fill="FFFFFF"/>
        </w:rPr>
        <w:t>万元，支出总计1</w:t>
      </w:r>
      <w:r>
        <w:rPr>
          <w:rFonts w:hint="eastAsia" w:ascii="Times New Roman" w:hAnsi="Times New Roman" w:eastAsia="方正仿宋_GBK" w:cs="Times New Roman"/>
          <w:color w:val="auto"/>
          <w:sz w:val="32"/>
          <w:szCs w:val="32"/>
          <w:shd w:val="clear" w:color="auto" w:fill="FFFFFF"/>
          <w:lang w:val="en-US" w:eastAsia="zh-CN"/>
        </w:rPr>
        <w:t>25.15</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经费减少</w:t>
      </w:r>
      <w:r>
        <w:rPr>
          <w:rFonts w:hint="eastAsia" w:ascii="Times New Roman" w:hAnsi="Times New Roman" w:eastAsia="方正仿宋_GBK" w:cs="Times New Roman"/>
          <w:color w:val="auto"/>
          <w:sz w:val="32"/>
          <w:szCs w:val="32"/>
          <w:shd w:val="clear" w:color="auto" w:fill="FFFFFF"/>
          <w:lang w:val="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8"/>
          <w:rFonts w:hint="eastAsia" w:ascii="Times New Roman" w:hAnsi="Times New Roman" w:eastAsia="方正仿宋_GBK" w:cs="Times New Roman"/>
          <w:color w:val="auto"/>
          <w:sz w:val="32"/>
          <w:szCs w:val="32"/>
          <w:shd w:val="clear" w:color="auto" w:fill="FFFFFF"/>
          <w:lang w:val="en-US" w:eastAsia="zh-CN"/>
        </w:rPr>
        <w:t>1</w:t>
      </w:r>
      <w:r>
        <w:rPr>
          <w:rStyle w:val="8"/>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年度收入合计</w:t>
      </w:r>
      <w:r>
        <w:rPr>
          <w:rFonts w:hint="eastAsia" w:ascii="Times New Roman" w:hAnsi="Times New Roman" w:eastAsia="方正仿宋_GBK" w:cs="Times New Roman"/>
          <w:color w:val="auto"/>
          <w:sz w:val="32"/>
          <w:szCs w:val="32"/>
          <w:shd w:val="clear" w:color="auto" w:fill="FFFFFF"/>
          <w:lang w:val="en-US" w:eastAsia="zh-CN"/>
        </w:rPr>
        <w:t>125.15</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经费减少</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其中：财政拨款收入</w:t>
      </w:r>
      <w:r>
        <w:rPr>
          <w:rFonts w:hint="eastAsia" w:ascii="Times New Roman" w:hAnsi="Times New Roman" w:eastAsia="方正仿宋_GBK" w:cs="Times New Roman"/>
          <w:color w:val="auto"/>
          <w:sz w:val="32"/>
          <w:szCs w:val="32"/>
          <w:shd w:val="clear" w:color="auto" w:fill="FFFFFF"/>
          <w:lang w:val="en-US" w:eastAsia="zh-CN"/>
        </w:rPr>
        <w:t>125.15</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8"/>
          <w:rFonts w:hint="eastAsia" w:ascii="Times New Roman" w:hAnsi="Times New Roman" w:eastAsia="方正仿宋_GBK" w:cs="Times New Roman"/>
          <w:color w:val="auto"/>
          <w:sz w:val="32"/>
          <w:szCs w:val="32"/>
          <w:shd w:val="clear" w:color="auto" w:fill="FFFFFF"/>
          <w:lang w:val="en-US" w:eastAsia="zh-CN"/>
        </w:rPr>
        <w:t>2</w:t>
      </w:r>
      <w:r>
        <w:rPr>
          <w:rStyle w:val="8"/>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shd w:val="clear" w:color="auto" w:fill="FFFFFF"/>
          <w:lang w:val="en-US" w:eastAsia="zh-CN"/>
        </w:rPr>
        <w:t>125.15</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经费减少</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其中：基本支出</w:t>
      </w:r>
      <w:r>
        <w:rPr>
          <w:rFonts w:hint="eastAsia" w:ascii="Times New Roman" w:hAnsi="Times New Roman" w:eastAsia="方正仿宋_GBK" w:cs="Times New Roman"/>
          <w:color w:val="auto"/>
          <w:sz w:val="32"/>
          <w:szCs w:val="32"/>
          <w:shd w:val="clear" w:color="auto" w:fill="FFFFFF"/>
          <w:lang w:val="en-US" w:eastAsia="zh-CN"/>
        </w:rPr>
        <w:t>125.15</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%；项目支出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8"/>
          <w:rFonts w:hint="eastAsia" w:ascii="Times New Roman" w:hAnsi="Times New Roman" w:eastAsia="方正仿宋_GBK" w:cs="Times New Roman"/>
          <w:color w:val="auto"/>
          <w:sz w:val="32"/>
          <w:szCs w:val="32"/>
          <w:shd w:val="clear" w:color="auto" w:fill="FFFFFF"/>
          <w:lang w:val="en-US" w:eastAsia="zh-CN"/>
        </w:rPr>
        <w:t>3</w:t>
      </w:r>
      <w:r>
        <w:rPr>
          <w:rStyle w:val="8"/>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8"/>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val="en-US" w:eastAsia="zh-CN"/>
        </w:rPr>
        <w:t>125.15</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经费减少</w:t>
      </w:r>
      <w:r>
        <w:rPr>
          <w:rFonts w:hint="eastAsia" w:ascii="Times New Roman" w:hAnsi="Times New Roman" w:eastAsia="方正仿宋_GBK" w:cs="Times New Roman"/>
          <w:color w:val="auto"/>
          <w:sz w:val="32"/>
          <w:szCs w:val="32"/>
          <w:shd w:val="clear" w:color="auto" w:fill="FFFFFF"/>
          <w:lang w:val="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8"/>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rPr>
      </w:pPr>
      <w:r>
        <w:rPr>
          <w:rStyle w:val="8"/>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lang w:val="en-US" w:eastAsia="zh-CN"/>
        </w:rPr>
        <w:t>125.15</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经费减少</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较年初预算数</w:t>
      </w:r>
      <w:r>
        <w:rPr>
          <w:rFonts w:ascii="方正仿宋_GBK" w:hAnsi="方正仿宋_GBK" w:eastAsia="方正仿宋_GBK" w:cs="方正仿宋_GBK"/>
          <w:color w:val="auto"/>
          <w:sz w:val="32"/>
          <w:szCs w:val="32"/>
          <w:shd w:val="clear" w:color="auto" w:fill="FFFFFF"/>
        </w:rPr>
        <w:t>增加</w:t>
      </w:r>
      <w:r>
        <w:rPr>
          <w:rFonts w:hint="eastAsia" w:ascii="Times New Roman" w:hAnsi="Times New Roman" w:eastAsia="方正仿宋_GBK" w:cs="Times New Roman"/>
          <w:color w:val="auto"/>
          <w:sz w:val="32"/>
          <w:szCs w:val="32"/>
          <w:shd w:val="clear" w:color="auto" w:fill="FFFFFF"/>
          <w:lang w:val="en-US" w:eastAsia="zh-CN"/>
        </w:rPr>
        <w:t>23.96</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23.69%</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调增2024年事业人员社保缴费基数</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Times New Roman" w:hAnsi="Times New Roman" w:eastAsia="方正仿宋_GBK" w:cs="Times New Roman"/>
          <w:color w:val="auto"/>
          <w:sz w:val="32"/>
          <w:szCs w:val="32"/>
          <w:shd w:val="clear" w:color="auto" w:fill="FFFFFF"/>
          <w:lang w:val="en-US" w:eastAsia="zh-CN"/>
        </w:rPr>
      </w:pPr>
      <w:r>
        <w:rPr>
          <w:rStyle w:val="8"/>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lang w:val="en-US" w:eastAsia="zh-CN"/>
        </w:rPr>
        <w:t>125.15</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3.93</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经费</w:t>
      </w:r>
      <w:r>
        <w:rPr>
          <w:rFonts w:hint="eastAsia" w:ascii="Times New Roman" w:hAnsi="Times New Roman" w:eastAsia="方正仿宋_GBK" w:cs="Times New Roman"/>
          <w:color w:val="auto"/>
          <w:sz w:val="32"/>
          <w:szCs w:val="32"/>
          <w:shd w:val="clear" w:color="auto" w:fill="FFFFFF"/>
          <w:lang w:val="zh-CN"/>
        </w:rPr>
        <w:t>减少。</w:t>
      </w:r>
      <w:r>
        <w:rPr>
          <w:rFonts w:hint="default" w:ascii="Times New Roman" w:hAnsi="Times New Roman" w:eastAsia="方正仿宋_GBK" w:cs="Times New Roman"/>
          <w:color w:val="auto"/>
          <w:sz w:val="32"/>
          <w:szCs w:val="32"/>
          <w:shd w:val="clear" w:color="auto" w:fill="FFFFFF"/>
        </w:rPr>
        <w:t>较年初预算数</w:t>
      </w:r>
      <w:r>
        <w:rPr>
          <w:rFonts w:ascii="方正仿宋_GBK" w:hAnsi="方正仿宋_GBK" w:eastAsia="方正仿宋_GBK" w:cs="方正仿宋_GBK"/>
          <w:color w:val="auto"/>
          <w:sz w:val="32"/>
          <w:szCs w:val="32"/>
          <w:shd w:val="clear" w:color="auto" w:fill="FFFFFF"/>
        </w:rPr>
        <w:t>增加</w:t>
      </w:r>
      <w:r>
        <w:rPr>
          <w:rFonts w:hint="eastAsia" w:ascii="Times New Roman" w:hAnsi="Times New Roman" w:eastAsia="方正仿宋_GBK" w:cs="Times New Roman"/>
          <w:color w:val="auto"/>
          <w:sz w:val="32"/>
          <w:szCs w:val="32"/>
          <w:shd w:val="clear" w:color="auto" w:fill="FFFFFF"/>
          <w:lang w:val="en-US" w:eastAsia="zh-CN"/>
        </w:rPr>
        <w:t>23.96</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23.69%，主要原因是调增2024年事业人员社保缴费基数。</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22"/>
          <w:szCs w:val="22"/>
          <w:highlight w:val="none"/>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（1）社会保障与就业支出</w:t>
      </w:r>
      <w:r>
        <w:rPr>
          <w:rFonts w:hint="default" w:ascii="Times New Roman" w:hAnsi="Times New Roman" w:eastAsia="方正仿宋_GBK" w:cs="Times New Roman"/>
          <w:color w:val="auto"/>
          <w:sz w:val="32"/>
          <w:szCs w:val="32"/>
        </w:rPr>
        <w:t>11</w:t>
      </w:r>
      <w:r>
        <w:rPr>
          <w:rFonts w:hint="eastAsia" w:ascii="Times New Roman" w:hAnsi="Times New Roman" w:eastAsia="方正仿宋_GBK" w:cs="Times New Roman"/>
          <w:color w:val="auto"/>
          <w:sz w:val="32"/>
          <w:szCs w:val="32"/>
          <w:lang w:val="en-US" w:eastAsia="zh-CN"/>
        </w:rPr>
        <w:t>3.99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1.08</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，较年初预算数增加</w:t>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3.99</w:t>
      </w:r>
      <w:r>
        <w:rPr>
          <w:rFonts w:ascii="方正仿宋_GBK" w:hAnsi="方正仿宋_GBK" w:eastAsia="方正仿宋_GBK" w:cs="方正仿宋_GBK"/>
          <w:color w:val="auto"/>
          <w:sz w:val="32"/>
          <w:szCs w:val="32"/>
          <w:shd w:val="clear" w:color="auto" w:fill="FFFFFF"/>
        </w:rPr>
        <w:t>万元，增长</w:t>
      </w:r>
      <w:r>
        <w:rPr>
          <w:rFonts w:hint="default" w:ascii="Times New Roman" w:hAnsi="Times New Roman" w:eastAsia="方正仿宋_GBK" w:cs="Times New Roman"/>
          <w:color w:val="auto"/>
          <w:sz w:val="32"/>
          <w:szCs w:val="32"/>
        </w:rPr>
        <w:t>26.</w:t>
      </w:r>
      <w:r>
        <w:rPr>
          <w:rFonts w:hint="eastAsia" w:ascii="Times New Roman" w:hAnsi="Times New Roman" w:eastAsia="方正仿宋_GBK" w:cs="Times New Roman"/>
          <w:color w:val="auto"/>
          <w:sz w:val="32"/>
          <w:szCs w:val="32"/>
          <w:lang w:val="en-US" w:eastAsia="zh-CN"/>
        </w:rPr>
        <w:t>66</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主要原因</w:t>
      </w:r>
      <w:r>
        <w:rPr>
          <w:rFonts w:hint="eastAsia" w:ascii="Times New Roman" w:hAnsi="Times New Roman" w:eastAsia="方正仿宋_GBK" w:cs="Times New Roman"/>
          <w:color w:val="auto"/>
          <w:sz w:val="32"/>
          <w:szCs w:val="32"/>
          <w:shd w:val="clear" w:color="auto" w:fill="FFFFFF"/>
          <w:lang w:val="en-US" w:eastAsia="zh-CN"/>
        </w:rPr>
        <w:t>是调增2024年事业人员社保缴费基数</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eastAsia" w:ascii="Times New Roman" w:hAnsi="Times New Roman" w:eastAsia="方正仿宋_GBK" w:cs="Times New Roman"/>
          <w:color w:val="auto"/>
          <w:sz w:val="32"/>
          <w:szCs w:val="32"/>
          <w:lang w:val="en-US" w:eastAsia="zh-CN"/>
        </w:rPr>
        <w:t>5.73</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4.58</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eastAsia" w:ascii="Times New Roman" w:hAnsi="Times New Roman" w:eastAsia="方正仿宋_GBK" w:cs="Times New Roman"/>
          <w:color w:val="auto"/>
          <w:sz w:val="32"/>
          <w:szCs w:val="32"/>
          <w:lang w:val="en-US" w:eastAsia="zh-CN"/>
        </w:rPr>
        <w:t>5.43</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4.34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8"/>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8"/>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lang w:val="en-US" w:eastAsia="zh-CN"/>
        </w:rPr>
        <w:t>125.15</w:t>
      </w:r>
      <w:r>
        <w:rPr>
          <w:rFonts w:hint="default" w:ascii="Times New Roman" w:hAnsi="Times New Roman" w:eastAsia="方正仿宋_GBK" w:cs="Times New Roman"/>
          <w:color w:val="auto"/>
          <w:sz w:val="32"/>
          <w:szCs w:val="32"/>
          <w:shd w:val="clear" w:color="auto" w:fill="FFFFFF"/>
        </w:rPr>
        <w:t>万元。其中：</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eastAsia" w:ascii="Times New Roman" w:hAnsi="Times New Roman" w:eastAsia="方正仿宋_GBK" w:cs="Times New Roman"/>
          <w:color w:val="auto"/>
          <w:sz w:val="32"/>
          <w:szCs w:val="32"/>
          <w:lang w:val="en-US" w:eastAsia="zh-CN"/>
        </w:rPr>
        <w:t>118.85</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w:t>
      </w:r>
      <w:r>
        <w:rPr>
          <w:rFonts w:hint="eastAsia" w:ascii="Times New Roman" w:hAnsi="Times New Roman" w:eastAsia="方正仿宋_GBK" w:cs="Times New Roman"/>
          <w:color w:val="auto"/>
          <w:sz w:val="32"/>
          <w:szCs w:val="32"/>
          <w:lang w:val="en-US" w:eastAsia="zh-CN"/>
        </w:rPr>
        <w:t>少3.59</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2.76%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绩效</w:t>
      </w:r>
      <w:r>
        <w:rPr>
          <w:rFonts w:hint="eastAsia" w:ascii="Times New Roman" w:hAnsi="Times New Roman" w:eastAsia="方正仿宋_GBK" w:cs="Times New Roman"/>
          <w:color w:val="auto"/>
          <w:sz w:val="32"/>
          <w:szCs w:val="32"/>
          <w:shd w:val="clear" w:color="auto" w:fill="FFFFFF"/>
          <w:lang w:val="zh-CN"/>
        </w:rPr>
        <w:t>减少。</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bookmarkStart w:id="0" w:name="_GoBack"/>
      <w:bookmarkEnd w:id="0"/>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lang w:val="en-US" w:eastAsia="zh-CN"/>
        </w:rPr>
        <w:t>6.31</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1.53</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19.52%</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en-US" w:eastAsia="zh-CN"/>
        </w:rPr>
        <w:t>办公用品费用减少</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8"/>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三、</w:t>
      </w:r>
      <w:r>
        <w:rPr>
          <w:rStyle w:val="8"/>
          <w:rFonts w:hint="eastAsia" w:ascii="黑体" w:hAnsi="黑体" w:eastAsia="黑体" w:cs="黑体"/>
          <w:color w:val="auto"/>
          <w:sz w:val="32"/>
          <w:szCs w:val="32"/>
          <w:shd w:val="clear" w:color="auto" w:fill="FFFFFF"/>
          <w:lang w:eastAsia="zh-CN"/>
        </w:rPr>
        <w:t>财政拨款</w:t>
      </w:r>
      <w:r>
        <w:rPr>
          <w:rStyle w:val="8"/>
          <w:rFonts w:ascii="黑体" w:hAnsi="黑体" w:eastAsia="黑体" w:cs="黑体"/>
          <w:color w:val="auto"/>
          <w:sz w:val="32"/>
          <w:szCs w:val="32"/>
          <w:shd w:val="clear" w:color="auto" w:fill="FFFFFF"/>
        </w:rPr>
        <w:t>“三公”经费情况说明</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B0F0"/>
          <w:sz w:val="32"/>
          <w:szCs w:val="32"/>
          <w:lang w:eastAsia="zh-CN"/>
        </w:rPr>
      </w:pPr>
      <w:r>
        <w:rPr>
          <w:rFonts w:hint="default" w:ascii="Times New Roman" w:hAnsi="Times New Roman" w:eastAsia="方正仿宋_GBK" w:cs="Times New Roman"/>
          <w:color w:val="auto"/>
          <w:sz w:val="32"/>
          <w:szCs w:val="32"/>
          <w:shd w:val="clear" w:color="auto" w:fill="FFFFFF"/>
        </w:rPr>
        <w:t>本年度会议费支出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0.08</w:t>
      </w:r>
      <w:r>
        <w:rPr>
          <w:rFonts w:hint="default" w:ascii="Times New Roman" w:hAnsi="Times New Roman" w:eastAsia="方正仿宋_GBK" w:cs="Times New Roman"/>
          <w:color w:val="auto"/>
          <w:sz w:val="32"/>
          <w:szCs w:val="32"/>
          <w:shd w:val="clear" w:color="auto" w:fill="FFFFFF"/>
        </w:rPr>
        <w:t>万元，较上年决算数增加</w:t>
      </w:r>
      <w:r>
        <w:rPr>
          <w:rFonts w:hint="eastAsia" w:ascii="Times New Roman" w:hAnsi="Times New Roman" w:eastAsia="方正仿宋_GBK" w:cs="Times New Roman"/>
          <w:color w:val="auto"/>
          <w:sz w:val="32"/>
          <w:szCs w:val="32"/>
          <w:shd w:val="clear" w:color="auto" w:fill="FFFFFF"/>
          <w:lang w:val="en-US" w:eastAsia="zh-CN"/>
        </w:rPr>
        <w:t>0.03</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w:t>
      </w:r>
      <w:r>
        <w:rPr>
          <w:rFonts w:hint="eastAsia"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rPr>
        <w:t>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8"/>
          <w:rFonts w:hint="eastAsia" w:ascii="黑体" w:hAnsi="黑体" w:eastAsia="黑体" w:cs="黑体"/>
          <w:sz w:val="32"/>
          <w:szCs w:val="32"/>
          <w:shd w:val="clear" w:color="auto" w:fill="FFFFFF"/>
          <w:lang w:val="en-US" w:eastAsia="zh-CN" w:bidi="ar-SA"/>
        </w:rPr>
      </w:pPr>
      <w:r>
        <w:rPr>
          <w:rStyle w:val="8"/>
          <w:rFonts w:ascii="黑体" w:hAnsi="黑体" w:eastAsia="黑体" w:cs="黑体"/>
          <w:sz w:val="32"/>
          <w:szCs w:val="32"/>
          <w:shd w:val="clear" w:color="auto" w:fill="FFFFFF"/>
        </w:rPr>
        <w:t>五、</w:t>
      </w:r>
      <w:r>
        <w:rPr>
          <w:rStyle w:val="8"/>
          <w:rFonts w:hint="eastAsia" w:ascii="黑体" w:hAnsi="黑体" w:eastAsia="黑体" w:cs="黑体"/>
          <w:sz w:val="32"/>
          <w:szCs w:val="32"/>
          <w:shd w:val="clear" w:color="auto" w:fill="FFFFFF"/>
          <w:lang w:eastAsia="zh-CN"/>
        </w:rPr>
        <w:t>预算</w:t>
      </w:r>
      <w:r>
        <w:rPr>
          <w:rStyle w:val="8"/>
          <w:rFonts w:hint="eastAsia" w:ascii="黑体" w:hAnsi="黑体" w:eastAsia="黑体" w:cs="黑体"/>
          <w:sz w:val="32"/>
          <w:szCs w:val="32"/>
          <w:shd w:val="clear" w:color="auto" w:fill="FFFFFF"/>
          <w:lang w:val="en-US" w:eastAsia="zh-CN" w:bidi="ar-SA"/>
        </w:rPr>
        <w:t>绩效管理情况说明</w:t>
      </w:r>
    </w:p>
    <w:p>
      <w:pPr>
        <w:pStyle w:val="11"/>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2"/>
        <w:spacing w:before="0" w:beforeAutospacing="0"/>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zh-CN" w:bidi="ar"/>
        </w:rPr>
        <w:t>我单位是秀山县人力资源和社会保障局下属二级单位，项目预算由本级统筹管理，无财政拨款项目预算和支出，故未开展项目绩效自评。</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val="zh-CN" w:eastAsia="zh-CN" w:bidi="ar"/>
        </w:rPr>
        <w:t>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六</w:t>
      </w:r>
      <w:r>
        <w:rPr>
          <w:rStyle w:val="8"/>
          <w:rFonts w:ascii="黑体" w:hAnsi="黑体" w:eastAsia="黑体" w:cs="黑体"/>
          <w:sz w:val="32"/>
          <w:szCs w:val="32"/>
          <w:shd w:val="clear" w:color="auto" w:fill="FFFFFF"/>
        </w:rPr>
        <w:t>、专业名词解释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七</w:t>
      </w:r>
      <w:r>
        <w:rPr>
          <w:rStyle w:val="8"/>
          <w:rFonts w:ascii="黑体" w:hAnsi="黑体" w:eastAsia="黑体" w:cs="黑体"/>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val="en-US"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秀山土家族苗族自治县人力资源服务中心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秀山土家族苗族自治县人力资源服务中心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秀山土家族苗族自治县人力资源服务中心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秀山土家族苗族自治县人力资源服务中心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103.11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秀山土家族苗族自治县人力资源服务中心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118.85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秀山土家族苗族自治县人力资源服务中心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36350"/>
    <w:rsid w:val="06194FF1"/>
    <w:rsid w:val="06A2550B"/>
    <w:rsid w:val="06F80EE2"/>
    <w:rsid w:val="07001CCA"/>
    <w:rsid w:val="075678DB"/>
    <w:rsid w:val="079D7CC7"/>
    <w:rsid w:val="08051BCA"/>
    <w:rsid w:val="086C12F4"/>
    <w:rsid w:val="08705944"/>
    <w:rsid w:val="08BA052C"/>
    <w:rsid w:val="08DB07BA"/>
    <w:rsid w:val="0969353F"/>
    <w:rsid w:val="09813352"/>
    <w:rsid w:val="098305D0"/>
    <w:rsid w:val="09B1218B"/>
    <w:rsid w:val="0A2E0AFB"/>
    <w:rsid w:val="0A3317EA"/>
    <w:rsid w:val="0A5C4B69"/>
    <w:rsid w:val="0A86124A"/>
    <w:rsid w:val="0AB54CC0"/>
    <w:rsid w:val="0AB81386"/>
    <w:rsid w:val="0B9335CE"/>
    <w:rsid w:val="0BF2311A"/>
    <w:rsid w:val="0C7927C4"/>
    <w:rsid w:val="0C976BFF"/>
    <w:rsid w:val="0C9B098C"/>
    <w:rsid w:val="0D673E11"/>
    <w:rsid w:val="0DDA54E4"/>
    <w:rsid w:val="0DE87E45"/>
    <w:rsid w:val="0E3A5F83"/>
    <w:rsid w:val="0E952579"/>
    <w:rsid w:val="0F836721"/>
    <w:rsid w:val="0FA25D96"/>
    <w:rsid w:val="0FBD3C60"/>
    <w:rsid w:val="107B59E5"/>
    <w:rsid w:val="10EC0126"/>
    <w:rsid w:val="10F70B9A"/>
    <w:rsid w:val="111445C7"/>
    <w:rsid w:val="111C6C6A"/>
    <w:rsid w:val="114278C6"/>
    <w:rsid w:val="1158083A"/>
    <w:rsid w:val="11643A4B"/>
    <w:rsid w:val="11ED0F98"/>
    <w:rsid w:val="11F03528"/>
    <w:rsid w:val="125A040F"/>
    <w:rsid w:val="12C921C4"/>
    <w:rsid w:val="13871C70"/>
    <w:rsid w:val="13A71CB4"/>
    <w:rsid w:val="13AF1D43"/>
    <w:rsid w:val="13CE1647"/>
    <w:rsid w:val="13FD55AB"/>
    <w:rsid w:val="14200702"/>
    <w:rsid w:val="143046F1"/>
    <w:rsid w:val="14370EA1"/>
    <w:rsid w:val="145D6F41"/>
    <w:rsid w:val="163A6CEE"/>
    <w:rsid w:val="173708E3"/>
    <w:rsid w:val="17C374FC"/>
    <w:rsid w:val="182E4AB6"/>
    <w:rsid w:val="189079DC"/>
    <w:rsid w:val="189B0D0B"/>
    <w:rsid w:val="18B43F7C"/>
    <w:rsid w:val="191C433B"/>
    <w:rsid w:val="194A1770"/>
    <w:rsid w:val="19B906A4"/>
    <w:rsid w:val="1B6F15B6"/>
    <w:rsid w:val="1BAA2EDC"/>
    <w:rsid w:val="1C8464D5"/>
    <w:rsid w:val="1CA55E64"/>
    <w:rsid w:val="1CC3519B"/>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42F36"/>
    <w:rsid w:val="222252C8"/>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0E64E0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CA5EB5"/>
    <w:rsid w:val="36C9128A"/>
    <w:rsid w:val="36FB4B53"/>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71B90"/>
    <w:rsid w:val="40BD5482"/>
    <w:rsid w:val="411B6CE5"/>
    <w:rsid w:val="412070D7"/>
    <w:rsid w:val="41314E40"/>
    <w:rsid w:val="41DF1D74"/>
    <w:rsid w:val="41E0734B"/>
    <w:rsid w:val="426C1EA8"/>
    <w:rsid w:val="42736402"/>
    <w:rsid w:val="42E86A87"/>
    <w:rsid w:val="43307B09"/>
    <w:rsid w:val="436D44AF"/>
    <w:rsid w:val="439A3EB9"/>
    <w:rsid w:val="43A2191B"/>
    <w:rsid w:val="43BB152F"/>
    <w:rsid w:val="44C37687"/>
    <w:rsid w:val="45CB699A"/>
    <w:rsid w:val="46423C66"/>
    <w:rsid w:val="465B470D"/>
    <w:rsid w:val="469D6AD4"/>
    <w:rsid w:val="46B55C19"/>
    <w:rsid w:val="471E6C84"/>
    <w:rsid w:val="4748792B"/>
    <w:rsid w:val="474D7E52"/>
    <w:rsid w:val="475D719D"/>
    <w:rsid w:val="47674801"/>
    <w:rsid w:val="48225EF7"/>
    <w:rsid w:val="488F422B"/>
    <w:rsid w:val="48E36915"/>
    <w:rsid w:val="48EB6572"/>
    <w:rsid w:val="495C4A24"/>
    <w:rsid w:val="497135DF"/>
    <w:rsid w:val="4A263DF2"/>
    <w:rsid w:val="4A2F278B"/>
    <w:rsid w:val="4A6F6675"/>
    <w:rsid w:val="4AC26427"/>
    <w:rsid w:val="4B135857"/>
    <w:rsid w:val="4B7951CB"/>
    <w:rsid w:val="4B7C315C"/>
    <w:rsid w:val="4C9316A8"/>
    <w:rsid w:val="4D1F53CA"/>
    <w:rsid w:val="4DAC4ACA"/>
    <w:rsid w:val="4DBE01D2"/>
    <w:rsid w:val="4F0C6BA3"/>
    <w:rsid w:val="4F186D58"/>
    <w:rsid w:val="50F06B6E"/>
    <w:rsid w:val="51D21804"/>
    <w:rsid w:val="52234D33"/>
    <w:rsid w:val="522F6E0C"/>
    <w:rsid w:val="52463BA1"/>
    <w:rsid w:val="52DF149A"/>
    <w:rsid w:val="52F163D4"/>
    <w:rsid w:val="531A2DB4"/>
    <w:rsid w:val="53C0244D"/>
    <w:rsid w:val="53DD4D4E"/>
    <w:rsid w:val="53E578CE"/>
    <w:rsid w:val="541330F0"/>
    <w:rsid w:val="54272666"/>
    <w:rsid w:val="543B029D"/>
    <w:rsid w:val="54677BF4"/>
    <w:rsid w:val="54861779"/>
    <w:rsid w:val="552256E1"/>
    <w:rsid w:val="554E5773"/>
    <w:rsid w:val="555829E0"/>
    <w:rsid w:val="555A3CBC"/>
    <w:rsid w:val="5582012B"/>
    <w:rsid w:val="558E4E05"/>
    <w:rsid w:val="55BE2E85"/>
    <w:rsid w:val="56530F5D"/>
    <w:rsid w:val="567700D3"/>
    <w:rsid w:val="569E5A73"/>
    <w:rsid w:val="56FF7E9E"/>
    <w:rsid w:val="572235C3"/>
    <w:rsid w:val="578867FC"/>
    <w:rsid w:val="5842572D"/>
    <w:rsid w:val="5A3B59D6"/>
    <w:rsid w:val="5AD134D8"/>
    <w:rsid w:val="5BF41F67"/>
    <w:rsid w:val="5C263CE4"/>
    <w:rsid w:val="5C5D2777"/>
    <w:rsid w:val="5CA40968"/>
    <w:rsid w:val="5CF66BF3"/>
    <w:rsid w:val="5D290C69"/>
    <w:rsid w:val="5DA80C2C"/>
    <w:rsid w:val="5E4336BA"/>
    <w:rsid w:val="5F2D4A41"/>
    <w:rsid w:val="60C74F6C"/>
    <w:rsid w:val="61015958"/>
    <w:rsid w:val="61025A59"/>
    <w:rsid w:val="613D5BBC"/>
    <w:rsid w:val="61536C39"/>
    <w:rsid w:val="61894431"/>
    <w:rsid w:val="61B15F79"/>
    <w:rsid w:val="62944DD7"/>
    <w:rsid w:val="6319381F"/>
    <w:rsid w:val="63C25DC5"/>
    <w:rsid w:val="63C62057"/>
    <w:rsid w:val="64571EF5"/>
    <w:rsid w:val="64FB113D"/>
    <w:rsid w:val="656152C6"/>
    <w:rsid w:val="6587477F"/>
    <w:rsid w:val="658C3A08"/>
    <w:rsid w:val="65A36A72"/>
    <w:rsid w:val="65C031CA"/>
    <w:rsid w:val="65CE6852"/>
    <w:rsid w:val="66093F91"/>
    <w:rsid w:val="66267C04"/>
    <w:rsid w:val="663F505A"/>
    <w:rsid w:val="66AF5D7C"/>
    <w:rsid w:val="66EE5541"/>
    <w:rsid w:val="67924660"/>
    <w:rsid w:val="68407834"/>
    <w:rsid w:val="6883293E"/>
    <w:rsid w:val="688412AD"/>
    <w:rsid w:val="68EB1B71"/>
    <w:rsid w:val="696C0310"/>
    <w:rsid w:val="6A6C7940"/>
    <w:rsid w:val="6A9F1565"/>
    <w:rsid w:val="6AAD2300"/>
    <w:rsid w:val="6AC62457"/>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0F5087"/>
    <w:rsid w:val="781926BC"/>
    <w:rsid w:val="796D60A4"/>
    <w:rsid w:val="797A664A"/>
    <w:rsid w:val="79A031D5"/>
    <w:rsid w:val="79B47FDF"/>
    <w:rsid w:val="79E569A9"/>
    <w:rsid w:val="7A1525F7"/>
    <w:rsid w:val="7B420052"/>
    <w:rsid w:val="7B522CB5"/>
    <w:rsid w:val="7B7974C9"/>
    <w:rsid w:val="7BD06A28"/>
    <w:rsid w:val="7C3A7C0B"/>
    <w:rsid w:val="7C5248E4"/>
    <w:rsid w:val="7C566698"/>
    <w:rsid w:val="7C5866A3"/>
    <w:rsid w:val="7C9461D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2025-09-30T03:11:47Z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