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bookmarkStart w:id="0" w:name="_GoBack"/>
      <w:bookmarkEnd w:id="0"/>
    </w:p>
    <w:p>
      <w:pPr>
        <w:pStyle w:val="8"/>
        <w:spacing w:before="0" w:beforeAutospacing="0" w:after="0" w:afterAutospacing="0" w:line="596" w:lineRule="exac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rPr>
        <w:t>秀山土家族苗族自治县退役军人服务中心</w:t>
      </w:r>
      <w:r>
        <w:rPr>
          <w:rFonts w:hint="default" w:ascii="Times New Roman" w:hAnsi="Times New Roman" w:eastAsia="方正小标宋_GBK" w:cs="Times New Roman"/>
          <w:b w:val="0"/>
          <w:bCs w:val="0"/>
          <w:sz w:val="44"/>
          <w:szCs w:val="44"/>
          <w:shd w:val="clear" w:color="auto" w:fill="FFFFFF"/>
        </w:rPr>
        <w:t>2024</w:t>
      </w:r>
      <w:r>
        <w:rPr>
          <w:rFonts w:hint="eastAsia" w:ascii="方正小标宋_GBK" w:hAnsi="方正小标宋_GBK" w:eastAsia="方正小标宋_GBK" w:cs="方正小标宋_GBK"/>
          <w:b w:val="0"/>
          <w:bCs w:val="0"/>
          <w:sz w:val="44"/>
          <w:szCs w:val="44"/>
          <w:shd w:val="clear" w:color="auto" w:fill="FFFFFF"/>
        </w:rPr>
        <w:t>年度决算公开说明</w:t>
      </w:r>
    </w:p>
    <w:p>
      <w:pPr>
        <w:pStyle w:val="8"/>
        <w:spacing w:before="0" w:beforeAutospacing="0" w:after="0" w:afterAutospacing="0" w:line="596" w:lineRule="exact"/>
        <w:jc w:val="center"/>
        <w:rPr>
          <w:rFonts w:hint="default" w:ascii="方正小标宋_GBK" w:hAnsi="方正小标宋_GBK" w:eastAsia="方正小标宋_GBK" w:cs="方正小标宋_GBK"/>
          <w:b w:val="0"/>
          <w:bCs w:val="0"/>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val="en-US" w:eastAsia="zh-CN"/>
        </w:rPr>
        <w:t>单位</w:t>
      </w:r>
      <w:r>
        <w:rPr>
          <w:rStyle w:val="10"/>
          <w:rFonts w:hint="eastAsia" w:ascii="方正黑体_GBK" w:hAnsi="方正黑体_GBK" w:eastAsia="方正黑体_GBK" w:cs="方正黑体_GBK"/>
          <w:b w:val="0"/>
          <w:bCs/>
          <w:sz w:val="32"/>
          <w:szCs w:val="32"/>
          <w:shd w:val="clear" w:color="auto" w:fill="FFFFFF"/>
        </w:rPr>
        <w:t>基本情况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rPr>
        <w:t>协助做好退役军人行政关系、组织关系、供给关系转接和档案移交，推动将退役军人流动党员纳入党的基层组织，并配合做好教育管理有关工作；协助做好退役军人来信来访、接待办理、心</w:t>
      </w:r>
      <w:r>
        <w:rPr>
          <w:rFonts w:hint="default" w:ascii="Times New Roman" w:hAnsi="Times New Roman" w:eastAsia="方正仿宋_GBK" w:cs="Times New Roman"/>
          <w:b w:val="0"/>
          <w:bCs/>
          <w:sz w:val="32"/>
          <w:szCs w:val="32"/>
          <w:lang w:val="en-US" w:eastAsia="zh-CN"/>
        </w:rPr>
        <w:t>理</w:t>
      </w:r>
      <w:r>
        <w:rPr>
          <w:rFonts w:hint="default" w:ascii="Times New Roman" w:hAnsi="Times New Roman" w:eastAsia="方正仿宋_GBK" w:cs="Times New Roman"/>
          <w:b w:val="0"/>
          <w:bCs/>
          <w:sz w:val="32"/>
          <w:szCs w:val="32"/>
        </w:rPr>
        <w:t>疏导、权益咨询、政策解答、法律服务以及涉退役军人舆情的收集、引导等工作；协助做好军属、烈属、伤病残军人、带病返乡退役军人服务等事务性工作；协助开展退役军人和其他优抚对象信息数据采集、资料管理、汇总分析等工作；负责提供就业创业和政策咨询，协助开展职业教育和技能培训，承办自主就业退役军人招聘会、推介会、就业论坛等，搭建就业创业、困难退役军人军属帮扶援助平台；结合工作实际，开展退役军人个性化服务工作；完成主管部门交办的其他任务。</w:t>
      </w:r>
    </w:p>
    <w:p>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left"/>
        <w:textAlignment w:val="auto"/>
        <w:rPr>
          <w:rStyle w:val="10"/>
          <w:rFonts w:hint="default" w:ascii="Times New Roman" w:hAnsi="Times New Roman" w:eastAsia="方正仿宋_GBK" w:cs="Times New Roman"/>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highlight w:val="none"/>
        </w:rPr>
      </w:pPr>
      <w:r>
        <w:rPr>
          <w:rFonts w:hint="default" w:ascii="Times New Roman" w:hAnsi="Times New Roman" w:eastAsia="方正仿宋_GBK" w:cs="Times New Roman"/>
          <w:b w:val="0"/>
          <w:bCs/>
          <w:sz w:val="32"/>
          <w:szCs w:val="32"/>
          <w:lang w:val="en-US" w:eastAsia="zh-CN" w:bidi="ar-SA"/>
        </w:rPr>
        <w:t>我中心内设退役军人服务大厅、烈士纪念设施保护中心两个内设机构。</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val="en-US" w:eastAsia="zh-CN"/>
        </w:rPr>
        <w:t>单位</w:t>
      </w:r>
      <w:r>
        <w:rPr>
          <w:rStyle w:val="10"/>
          <w:rFonts w:hint="eastAsia" w:ascii="方正黑体_GBK" w:hAnsi="方正黑体_GBK" w:eastAsia="方正黑体_GBK" w:cs="方正黑体_GBK"/>
          <w:b w:val="0"/>
          <w:bCs/>
          <w:sz w:val="32"/>
          <w:szCs w:val="32"/>
          <w:shd w:val="clear" w:color="auto" w:fill="FFFFFF"/>
        </w:rPr>
        <w:t>决算</w:t>
      </w:r>
      <w:r>
        <w:rPr>
          <w:rStyle w:val="10"/>
          <w:rFonts w:hint="eastAsia" w:ascii="方正黑体_GBK" w:hAnsi="方正黑体_GBK" w:eastAsia="方正黑体_GBK" w:cs="方正黑体_GBK"/>
          <w:b w:val="0"/>
          <w:bCs/>
          <w:sz w:val="32"/>
          <w:szCs w:val="32"/>
          <w:shd w:val="clear" w:color="auto" w:fill="FFFFFF"/>
          <w:lang w:eastAsia="zh-CN"/>
        </w:rPr>
        <w:t>收支</w:t>
      </w:r>
      <w:r>
        <w:rPr>
          <w:rStyle w:val="10"/>
          <w:rFonts w:hint="eastAsia" w:ascii="方正黑体_GBK" w:hAnsi="方正黑体_GBK" w:eastAsia="方正黑体_GBK" w:cs="方正黑体_GBK"/>
          <w:b w:val="0"/>
          <w:bCs/>
          <w:sz w:val="32"/>
          <w:szCs w:val="32"/>
          <w:shd w:val="clear" w:color="auto" w:fill="FFFFFF"/>
        </w:rPr>
        <w:t>情况说明</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color w:val="FF0000"/>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2024年度收</w:t>
      </w:r>
      <w:r>
        <w:rPr>
          <w:rFonts w:hint="default" w:ascii="Times New Roman" w:hAnsi="Times New Roman" w:eastAsia="方正仿宋_GBK" w:cs="Times New Roman"/>
          <w:b w:val="0"/>
          <w:bCs/>
          <w:sz w:val="32"/>
          <w:szCs w:val="32"/>
          <w:shd w:val="clear" w:color="auto" w:fill="FFFFFF"/>
          <w:lang w:eastAsia="zh-CN"/>
        </w:rPr>
        <w:t>、支</w:t>
      </w:r>
      <w:r>
        <w:rPr>
          <w:rFonts w:hint="default" w:ascii="Times New Roman" w:hAnsi="Times New Roman" w:eastAsia="方正仿宋_GBK" w:cs="Times New Roman"/>
          <w:b w:val="0"/>
          <w:bCs/>
          <w:sz w:val="32"/>
          <w:szCs w:val="32"/>
          <w:shd w:val="clear" w:color="auto" w:fill="FFFFFF"/>
        </w:rPr>
        <w:t>总计</w:t>
      </w:r>
      <w:r>
        <w:rPr>
          <w:rFonts w:hint="default" w:ascii="Times New Roman" w:hAnsi="Times New Roman" w:eastAsia="方正仿宋_GBK" w:cs="Times New Roman"/>
          <w:b w:val="0"/>
          <w:bCs/>
          <w:sz w:val="32"/>
          <w:szCs w:val="32"/>
          <w:shd w:val="clear" w:color="auto" w:fill="FFFFFF"/>
          <w:lang w:eastAsia="zh-CN"/>
        </w:rPr>
        <w:t>均为</w:t>
      </w:r>
      <w:r>
        <w:rPr>
          <w:rFonts w:hint="default" w:ascii="Times New Roman" w:hAnsi="Times New Roman" w:eastAsia="方正仿宋_GBK" w:cs="Times New Roman"/>
          <w:b w:val="0"/>
          <w:bCs/>
          <w:sz w:val="32"/>
          <w:szCs w:val="32"/>
          <w:shd w:val="clear" w:color="auto" w:fill="FFFFFF"/>
        </w:rPr>
        <w:t>140.24万元。收、支与2023年度相比，增加10.75万元，增长8.3%，主要原因是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keepNext w:val="0"/>
        <w:keepLines w:val="0"/>
        <w:pageBreakBefore w:val="0"/>
        <w:kinsoku/>
        <w:wordWrap/>
        <w:overflowPunct/>
        <w:topLinePunct w:val="0"/>
        <w:autoSpaceDN/>
        <w:bidi w:val="0"/>
        <w:adjustRightInd/>
        <w:snapToGrid w:val="0"/>
        <w:spacing w:line="560" w:lineRule="exact"/>
        <w:ind w:firstLine="643" w:firstLineChars="200"/>
        <w:jc w:val="left"/>
        <w:textAlignment w:val="auto"/>
        <w:rPr>
          <w:rFonts w:hint="default" w:ascii="Times New Roman" w:hAnsi="Times New Roman" w:eastAsia="方正仿宋_GBK" w:cs="Times New Roman"/>
          <w:b w:val="0"/>
          <w:bCs/>
          <w:sz w:val="32"/>
          <w:szCs w:val="32"/>
          <w:shd w:val="clear" w:color="auto" w:fill="FFFFFF"/>
        </w:rPr>
      </w:pPr>
      <w:r>
        <w:rPr>
          <w:rStyle w:val="10"/>
          <w:rFonts w:hint="default" w:ascii="Times New Roman" w:hAnsi="Times New Roman" w:eastAsia="方正仿宋_GBK" w:cs="Times New Roman"/>
          <w:b/>
          <w:bCs w:val="0"/>
          <w:sz w:val="32"/>
          <w:szCs w:val="32"/>
          <w:shd w:val="clear" w:color="auto" w:fill="FFFFFF"/>
          <w:lang w:val="en-US" w:eastAsia="zh-CN"/>
        </w:rPr>
        <w:t>1</w:t>
      </w:r>
      <w:r>
        <w:rPr>
          <w:rStyle w:val="10"/>
          <w:rFonts w:hint="default" w:ascii="Times New Roman" w:hAnsi="Times New Roman" w:eastAsia="方正仿宋_GBK" w:cs="Times New Roman"/>
          <w:b/>
          <w:bCs w:val="0"/>
          <w:sz w:val="32"/>
          <w:szCs w:val="32"/>
          <w:shd w:val="clear" w:color="auto" w:fill="FFFFFF"/>
        </w:rPr>
        <w:t>.收入情况。</w:t>
      </w:r>
      <w:r>
        <w:rPr>
          <w:rFonts w:hint="default" w:ascii="Times New Roman" w:hAnsi="Times New Roman" w:eastAsia="方正仿宋_GBK" w:cs="Times New Roman"/>
          <w:b w:val="0"/>
          <w:bCs/>
          <w:sz w:val="32"/>
          <w:szCs w:val="32"/>
          <w:shd w:val="clear" w:color="auto" w:fill="FFFFFF"/>
        </w:rPr>
        <w:t>2024年度收入合计140.24万元，与2023年度相比，增加10.75万元，增长8.3%，主要原因是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r>
        <w:rPr>
          <w:rFonts w:hint="default" w:ascii="Times New Roman" w:hAnsi="Times New Roman" w:eastAsia="方正仿宋_GBK" w:cs="Times New Roman"/>
          <w:b w:val="0"/>
          <w:bCs/>
          <w:sz w:val="32"/>
          <w:szCs w:val="32"/>
          <w:shd w:val="clear" w:color="auto" w:fill="FFFFFF"/>
        </w:rPr>
        <w:t>其中：财政拨款收入140.24万元，占100.0%；事业收入0.00万元，占0.0%；经营收入0.00万元，占0.0%；其他收入0.00万元，占0.0%。此外，使用非财政拨款结余（含专用结余）0.00万元，年初结转和结余0.00万元。</w:t>
      </w:r>
    </w:p>
    <w:p>
      <w:pPr>
        <w:keepNext w:val="0"/>
        <w:keepLines w:val="0"/>
        <w:pageBreakBefore w:val="0"/>
        <w:kinsoku/>
        <w:wordWrap/>
        <w:overflowPunct/>
        <w:topLinePunct w:val="0"/>
        <w:autoSpaceDN/>
        <w:bidi w:val="0"/>
        <w:adjustRightInd/>
        <w:snapToGrid w:val="0"/>
        <w:spacing w:line="560" w:lineRule="exact"/>
        <w:ind w:firstLine="643" w:firstLineChars="200"/>
        <w:jc w:val="left"/>
        <w:textAlignment w:val="auto"/>
        <w:rPr>
          <w:rFonts w:hint="default" w:ascii="Times New Roman" w:hAnsi="Times New Roman" w:eastAsia="方正仿宋_GBK" w:cs="Times New Roman"/>
          <w:b w:val="0"/>
          <w:bCs/>
          <w:sz w:val="32"/>
          <w:szCs w:val="32"/>
          <w:lang w:val="en-US" w:eastAsia="zh-CN"/>
        </w:rPr>
      </w:pPr>
      <w:r>
        <w:rPr>
          <w:rStyle w:val="10"/>
          <w:rFonts w:hint="default" w:ascii="Times New Roman" w:hAnsi="Times New Roman" w:eastAsia="方正仿宋_GBK" w:cs="Times New Roman"/>
          <w:b/>
          <w:bCs w:val="0"/>
          <w:sz w:val="32"/>
          <w:szCs w:val="32"/>
          <w:shd w:val="clear" w:color="auto" w:fill="FFFFFF"/>
          <w:lang w:val="en-US" w:eastAsia="zh-CN"/>
        </w:rPr>
        <w:t>2</w:t>
      </w:r>
      <w:r>
        <w:rPr>
          <w:rStyle w:val="10"/>
          <w:rFonts w:hint="default" w:ascii="Times New Roman" w:hAnsi="Times New Roman" w:eastAsia="方正仿宋_GBK" w:cs="Times New Roman"/>
          <w:b/>
          <w:bCs w:val="0"/>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2024年度支出合计140.24万元，与2023年度相比，增加10.75万元，增长8.3%，主要原因是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其中：基本支出140.24万元，占100.0%；项目支出0.00万元，占0.0%；经营支出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万元，占0.0%。此外，结余分配0.00万元。</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sz w:val="32"/>
          <w:szCs w:val="32"/>
          <w:lang w:eastAsia="zh-CN"/>
        </w:rPr>
      </w:pPr>
      <w:r>
        <w:rPr>
          <w:rStyle w:val="10"/>
          <w:rFonts w:hint="default" w:ascii="Times New Roman" w:hAnsi="Times New Roman" w:eastAsia="方正仿宋_GBK" w:cs="Times New Roman"/>
          <w:b/>
          <w:bCs w:val="0"/>
          <w:sz w:val="32"/>
          <w:szCs w:val="32"/>
          <w:shd w:val="clear" w:color="auto" w:fill="FFFFFF"/>
          <w:lang w:val="en-US" w:eastAsia="zh-CN"/>
        </w:rPr>
        <w:t>3</w:t>
      </w:r>
      <w:r>
        <w:rPr>
          <w:rStyle w:val="10"/>
          <w:rFonts w:hint="default" w:ascii="Times New Roman" w:hAnsi="Times New Roman" w:eastAsia="方正仿宋_GBK" w:cs="Times New Roman"/>
          <w:b/>
          <w:bCs w:val="0"/>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2024年度年末结转和结余0.00万元，与2023年度相比，无增减</w:t>
      </w:r>
      <w:r>
        <w:rPr>
          <w:rFonts w:hint="default" w:ascii="Times New Roman" w:hAnsi="Times New Roman" w:eastAsia="方正仿宋_GBK" w:cs="Times New Roman"/>
          <w:b w:val="0"/>
          <w:bCs/>
          <w:sz w:val="32"/>
          <w:szCs w:val="32"/>
          <w:shd w:val="clear" w:color="auto" w:fill="FFFFFF"/>
          <w:lang w:eastAsia="zh-CN"/>
        </w:rPr>
        <w:t>。</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shd w:val="clear" w:color="auto" w:fill="FFFFFF"/>
          <w:lang w:val="en-US" w:eastAsia="zh-CN"/>
        </w:rPr>
        <w:t>2024</w:t>
      </w:r>
      <w:r>
        <w:rPr>
          <w:rFonts w:hint="default" w:ascii="Times New Roman" w:hAnsi="Times New Roman" w:eastAsia="方正仿宋_GBK" w:cs="Times New Roman"/>
          <w:b w:val="0"/>
          <w:bCs/>
          <w:sz w:val="32"/>
          <w:szCs w:val="32"/>
          <w:shd w:val="clear" w:color="auto" w:fill="FFFFFF"/>
        </w:rPr>
        <w:t>年度财政拨款收、支总计均为140.24万元。与2023年</w:t>
      </w:r>
      <w:r>
        <w:rPr>
          <w:rFonts w:hint="default" w:ascii="Times New Roman" w:hAnsi="Times New Roman" w:eastAsia="方正仿宋_GBK" w:cs="Times New Roman"/>
          <w:b w:val="0"/>
          <w:bCs/>
          <w:sz w:val="32"/>
          <w:szCs w:val="32"/>
          <w:shd w:val="clear" w:color="auto" w:fill="FFFFFF"/>
          <w:lang w:eastAsia="zh-CN"/>
        </w:rPr>
        <w:t>度</w:t>
      </w:r>
      <w:r>
        <w:rPr>
          <w:rFonts w:hint="default" w:ascii="Times New Roman" w:hAnsi="Times New Roman" w:eastAsia="方正仿宋_GBK" w:cs="Times New Roman"/>
          <w:b w:val="0"/>
          <w:bCs/>
          <w:sz w:val="32"/>
          <w:szCs w:val="32"/>
          <w:shd w:val="clear" w:color="auto" w:fill="FFFFFF"/>
        </w:rPr>
        <w:t>相比，财政拨款收、支总计各增加10.75万元，增长8.3%。主要原因是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pPr>
        <w:keepNext w:val="0"/>
        <w:keepLines w:val="0"/>
        <w:pageBreakBefore w:val="0"/>
        <w:kinsoku/>
        <w:wordWrap/>
        <w:overflowPunct/>
        <w:topLinePunct w:val="0"/>
        <w:autoSpaceDN/>
        <w:bidi w:val="0"/>
        <w:adjustRightInd/>
        <w:snapToGrid w:val="0"/>
        <w:spacing w:line="560" w:lineRule="exact"/>
        <w:ind w:firstLine="643" w:firstLineChars="200"/>
        <w:jc w:val="left"/>
        <w:textAlignment w:val="auto"/>
        <w:rPr>
          <w:rFonts w:hint="default" w:ascii="Times New Roman" w:hAnsi="Times New Roman" w:eastAsia="方正仿宋_GBK" w:cs="Times New Roman"/>
          <w:b w:val="0"/>
          <w:bCs/>
          <w:sz w:val="32"/>
          <w:szCs w:val="32"/>
          <w:lang w:val="en-US" w:eastAsia="zh-CN"/>
        </w:rPr>
      </w:pPr>
      <w:r>
        <w:rPr>
          <w:rStyle w:val="10"/>
          <w:rFonts w:hint="default" w:ascii="Times New Roman" w:hAnsi="Times New Roman" w:eastAsia="方正仿宋_GBK" w:cs="Times New Roman"/>
          <w:b/>
          <w:bCs w:val="0"/>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2024年度一般公共预算财政拨款收入140.24万元，与2023年度相比，增加10.75万元，增长8.3%。主要原因是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shd w:val="clear" w:color="auto" w:fill="FFFFFF"/>
        </w:rPr>
        <w:t>较年初预算数增加9.85万元，增长7.6%。主要原因是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此外，年初财政拨款结转和结余0.00万元。</w:t>
      </w:r>
    </w:p>
    <w:p>
      <w:pPr>
        <w:keepNext w:val="0"/>
        <w:keepLines w:val="0"/>
        <w:pageBreakBefore w:val="0"/>
        <w:kinsoku/>
        <w:wordWrap/>
        <w:overflowPunct/>
        <w:topLinePunct w:val="0"/>
        <w:autoSpaceDN/>
        <w:bidi w:val="0"/>
        <w:adjustRightInd/>
        <w:snapToGrid w:val="0"/>
        <w:spacing w:line="560" w:lineRule="exact"/>
        <w:ind w:firstLine="643" w:firstLineChars="200"/>
        <w:jc w:val="left"/>
        <w:textAlignment w:val="auto"/>
        <w:rPr>
          <w:rFonts w:hint="default" w:ascii="Times New Roman" w:hAnsi="Times New Roman" w:eastAsia="方正仿宋_GBK" w:cs="Times New Roman"/>
          <w:b w:val="0"/>
          <w:bCs/>
          <w:sz w:val="32"/>
          <w:szCs w:val="32"/>
          <w:lang w:val="en-US" w:eastAsia="zh-CN"/>
        </w:rPr>
      </w:pPr>
      <w:r>
        <w:rPr>
          <w:rStyle w:val="10"/>
          <w:rFonts w:hint="default" w:ascii="Times New Roman" w:hAnsi="Times New Roman" w:eastAsia="方正仿宋_GBK" w:cs="Times New Roman"/>
          <w:b/>
          <w:bCs w:val="0"/>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2024年度一般公共预算财政拨款支出140.24万元，与2023年度相比，增加10.75万元，增长8.3%。主要原因是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较年初预算数增加9.85万元，增长7.6%。主要原因是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highlight w:val="none"/>
          <w:shd w:val="clear" w:color="auto" w:fill="FFFFFF"/>
        </w:rPr>
      </w:pPr>
      <w:r>
        <w:rPr>
          <w:rFonts w:hint="default" w:ascii="Times New Roman" w:hAnsi="Times New Roman" w:eastAsia="方正仿宋_GBK" w:cs="Times New Roman"/>
          <w:b w:val="0"/>
          <w:bCs/>
          <w:sz w:val="32"/>
          <w:szCs w:val="32"/>
          <w:highlight w:val="none"/>
          <w:shd w:val="clear" w:color="auto" w:fill="FFFFFF"/>
        </w:rPr>
        <w:t>一般公共预算财政拨款支出主要</w:t>
      </w:r>
      <w:r>
        <w:rPr>
          <w:rFonts w:hint="default" w:ascii="Times New Roman" w:hAnsi="Times New Roman" w:eastAsia="方正仿宋_GBK" w:cs="Times New Roman"/>
          <w:b w:val="0"/>
          <w:bCs/>
          <w:sz w:val="32"/>
          <w:szCs w:val="32"/>
          <w:highlight w:val="none"/>
          <w:shd w:val="clear" w:color="auto" w:fill="FFFFFF"/>
          <w:lang w:eastAsia="zh-CN"/>
        </w:rPr>
        <w:t>用途如下</w:t>
      </w:r>
      <w:r>
        <w:rPr>
          <w:rFonts w:hint="default" w:ascii="Times New Roman" w:hAnsi="Times New Roman" w:eastAsia="方正仿宋_GBK" w:cs="Times New Roman"/>
          <w:b w:val="0"/>
          <w:bCs/>
          <w:sz w:val="32"/>
          <w:szCs w:val="32"/>
          <w:highlight w:val="none"/>
          <w:shd w:val="clear" w:color="auto" w:fill="FFFFFF"/>
        </w:rPr>
        <w:t>：</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1</w:t>
      </w:r>
      <w:r>
        <w:rPr>
          <w:rFonts w:hint="default" w:ascii="Times New Roman" w:hAnsi="Times New Roman" w:eastAsia="方正仿宋_GBK" w:cs="Times New Roman"/>
          <w:b w:val="0"/>
          <w:bCs/>
          <w:sz w:val="32"/>
          <w:szCs w:val="32"/>
          <w:shd w:val="clear" w:color="auto" w:fill="FFFFFF"/>
        </w:rPr>
        <w:t>）社会保障</w:t>
      </w:r>
      <w:r>
        <w:rPr>
          <w:rFonts w:hint="default" w:ascii="Times New Roman" w:hAnsi="Times New Roman" w:eastAsia="方正仿宋_GBK" w:cs="Times New Roman"/>
          <w:b w:val="0"/>
          <w:bCs/>
          <w:sz w:val="32"/>
          <w:szCs w:val="32"/>
          <w:shd w:val="clear" w:color="auto" w:fill="FFFFFF"/>
          <w:lang w:eastAsia="zh-CN"/>
        </w:rPr>
        <w:t>和</w:t>
      </w:r>
      <w:r>
        <w:rPr>
          <w:rFonts w:hint="default" w:ascii="Times New Roman" w:hAnsi="Times New Roman" w:eastAsia="方正仿宋_GBK" w:cs="Times New Roman"/>
          <w:b w:val="0"/>
          <w:bCs/>
          <w:sz w:val="32"/>
          <w:szCs w:val="32"/>
          <w:shd w:val="clear" w:color="auto" w:fill="FFFFFF"/>
        </w:rPr>
        <w:t>就业支出125.70万元，占89.6%，较年初预算数增加9.85万元，增长8.5%，主要原因是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2</w:t>
      </w:r>
      <w:r>
        <w:rPr>
          <w:rFonts w:hint="default" w:ascii="Times New Roman" w:hAnsi="Times New Roman" w:eastAsia="方正仿宋_GBK" w:cs="Times New Roman"/>
          <w:b w:val="0"/>
          <w:bCs/>
          <w:sz w:val="32"/>
          <w:szCs w:val="32"/>
          <w:shd w:val="clear" w:color="auto" w:fill="FFFFFF"/>
        </w:rPr>
        <w:t>）卫生健康支出7.52万元，占5.4%，较年初预算数无增减，主要原因是</w:t>
      </w:r>
      <w:r>
        <w:rPr>
          <w:rFonts w:hint="default" w:ascii="Times New Roman" w:hAnsi="Times New Roman" w:eastAsia="方正仿宋_GBK" w:cs="Times New Roman"/>
          <w:b w:val="0"/>
          <w:bCs/>
          <w:color w:val="000000"/>
          <w:sz w:val="32"/>
          <w:szCs w:val="32"/>
          <w:lang w:val="en-US" w:eastAsia="zh-CN"/>
        </w:rPr>
        <w:t>社保缴费基数调整。</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val="en-US" w:eastAsia="zh-CN"/>
        </w:rPr>
        <w:t>3</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rPr>
        <w:t>住房保障支出</w:t>
      </w:r>
      <w:r>
        <w:rPr>
          <w:rFonts w:hint="default" w:ascii="Times New Roman" w:hAnsi="Times New Roman" w:eastAsia="方正仿宋_GBK" w:cs="Times New Roman"/>
          <w:b w:val="0"/>
          <w:bCs/>
          <w:sz w:val="32"/>
          <w:szCs w:val="32"/>
          <w:shd w:val="clear" w:color="auto" w:fill="FFFFFF"/>
        </w:rPr>
        <w:t>7.01万元，占5.0%，较年初预算数无增减，主要原因是</w:t>
      </w:r>
      <w:r>
        <w:rPr>
          <w:rFonts w:hint="default" w:ascii="Times New Roman" w:hAnsi="Times New Roman" w:eastAsia="方正仿宋_GBK" w:cs="Times New Roman"/>
          <w:b w:val="0"/>
          <w:bCs/>
          <w:color w:val="000000"/>
          <w:sz w:val="32"/>
          <w:szCs w:val="32"/>
          <w:lang w:val="en-US" w:eastAsia="zh-CN"/>
        </w:rPr>
        <w:t>住房公积金缴费基数调整。</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left"/>
        <w:textAlignment w:val="auto"/>
        <w:rPr>
          <w:rFonts w:hint="default" w:ascii="Times New Roman" w:hAnsi="Times New Roman" w:eastAsia="方正仿宋_GBK" w:cs="Times New Roman"/>
          <w:b w:val="0"/>
          <w:bCs/>
          <w:color w:val="FF0000"/>
          <w:sz w:val="32"/>
          <w:szCs w:val="32"/>
          <w:shd w:val="clear" w:color="auto" w:fill="FFFFFF"/>
          <w:lang w:eastAsia="zh-CN"/>
        </w:rPr>
      </w:pPr>
      <w:r>
        <w:rPr>
          <w:rStyle w:val="10"/>
          <w:rFonts w:hint="default" w:ascii="Times New Roman" w:hAnsi="Times New Roman" w:eastAsia="方正仿宋_GBK" w:cs="Times New Roman"/>
          <w:b/>
          <w:bCs w:val="0"/>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2024年度年末一般公共预算财政拨款结转和结余0.00万元，与2023年度相比，无增减</w:t>
      </w:r>
      <w:r>
        <w:rPr>
          <w:rFonts w:hint="default" w:ascii="Times New Roman" w:hAnsi="Times New Roman" w:eastAsia="方正仿宋_GBK" w:cs="Times New Roman"/>
          <w:b w:val="0"/>
          <w:bCs/>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2024年度一般公共财政拨款基本支出140.24万元。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其中：</w:t>
      </w:r>
    </w:p>
    <w:p>
      <w:pPr>
        <w:keepNext w:val="0"/>
        <w:keepLines w:val="0"/>
        <w:pageBreakBefore w:val="0"/>
        <w:kinsoku/>
        <w:wordWrap/>
        <w:overflowPunct/>
        <w:topLinePunct w:val="0"/>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rPr>
        <w:t>人员经费131.00万元，与2023年度相比，增加10.77万元，增长9.0%，主要原因是</w:t>
      </w:r>
      <w:r>
        <w:rPr>
          <w:rFonts w:hint="default" w:ascii="Times New Roman" w:hAnsi="Times New Roman" w:eastAsia="方正仿宋_GBK" w:cs="Times New Roman"/>
          <w:b w:val="0"/>
          <w:bCs/>
          <w:color w:val="000000"/>
          <w:sz w:val="32"/>
          <w:szCs w:val="32"/>
          <w:lang w:val="en-US" w:eastAsia="zh-CN"/>
        </w:rPr>
        <w:t>人员工资调整及社保缴费基数调整。</w:t>
      </w:r>
      <w:r>
        <w:rPr>
          <w:rFonts w:hint="default" w:ascii="Times New Roman" w:hAnsi="Times New Roman" w:eastAsia="方正仿宋_GBK" w:cs="Times New Roman"/>
          <w:b w:val="0"/>
          <w:bCs/>
          <w:sz w:val="32"/>
          <w:szCs w:val="32"/>
          <w:shd w:val="clear" w:color="auto" w:fill="FFFFFF"/>
        </w:rPr>
        <w:t>人员经费用途主要包括</w:t>
      </w:r>
      <w:r>
        <w:rPr>
          <w:rFonts w:hint="default" w:ascii="Times New Roman" w:hAnsi="Times New Roman" w:eastAsia="方正仿宋_GBK" w:cs="Times New Roman"/>
          <w:b w:val="0"/>
          <w:bCs/>
          <w:sz w:val="32"/>
          <w:szCs w:val="32"/>
          <w:shd w:val="clear" w:color="auto" w:fill="FFFFFF"/>
          <w:lang w:val="en-US" w:eastAsia="zh-CN"/>
        </w:rPr>
        <w:t>人员工资、养老保险缴费、职业年金缴费、医疗保险缴费和住房公积金缴费。</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公用经费9.24万元，与2023年度相比，减少0.02万元，下降0.2%，公用经费用途主要包括</w:t>
      </w:r>
      <w:r>
        <w:rPr>
          <w:rFonts w:hint="default" w:ascii="Times New Roman" w:hAnsi="Times New Roman" w:eastAsia="方正仿宋_GBK" w:cs="Times New Roman"/>
          <w:b w:val="0"/>
          <w:bCs/>
          <w:sz w:val="32"/>
          <w:szCs w:val="32"/>
          <w:shd w:val="clear" w:color="auto" w:fill="auto"/>
          <w:lang w:eastAsia="zh-CN"/>
        </w:rPr>
        <w:t>办公用电、办公用水、办公用品、物业管理等。</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w:t>
      </w:r>
      <w:r>
        <w:rPr>
          <w:rFonts w:hint="default"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2024年度无政府性基金预算财政拨款收支。</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b w:val="0"/>
          <w:bCs/>
          <w:sz w:val="32"/>
          <w:szCs w:val="32"/>
          <w:shd w:val="clear" w:color="auto" w:fill="FFFFFF"/>
        </w:rPr>
        <w:t>本</w:t>
      </w:r>
      <w:r>
        <w:rPr>
          <w:rFonts w:hint="default"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2024年度无国有资本经营预算财政拨款支出。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财政拨款</w:t>
      </w:r>
      <w:r>
        <w:rPr>
          <w:rStyle w:val="10"/>
          <w:rFonts w:hint="eastAsia" w:ascii="方正黑体_GBK" w:hAnsi="方正黑体_GBK" w:eastAsia="方正黑体_GBK" w:cs="方正黑体_GBK"/>
          <w:b w:val="0"/>
          <w:bCs/>
          <w:sz w:val="32"/>
          <w:szCs w:val="32"/>
          <w:shd w:val="clear" w:color="auto" w:fill="FFFFFF"/>
        </w:rPr>
        <w:t>“三公”经费情况说明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我单位属于</w:t>
      </w:r>
      <w:r>
        <w:rPr>
          <w:rFonts w:hint="default" w:ascii="Times New Roman" w:hAnsi="Times New Roman" w:eastAsia="方正仿宋_GBK" w:cs="Times New Roman"/>
          <w:b w:val="0"/>
          <w:bCs/>
          <w:sz w:val="32"/>
          <w:szCs w:val="32"/>
          <w:shd w:val="clear" w:color="auto" w:fill="FFFFFF"/>
          <w:lang w:val="en-US" w:eastAsia="zh-CN"/>
        </w:rPr>
        <w:t>退役军人事务局下属</w:t>
      </w:r>
      <w:r>
        <w:rPr>
          <w:rFonts w:hint="default" w:ascii="Times New Roman" w:hAnsi="Times New Roman" w:eastAsia="方正仿宋_GBK" w:cs="Times New Roman"/>
          <w:b w:val="0"/>
          <w:bCs/>
          <w:sz w:val="32"/>
          <w:szCs w:val="32"/>
          <w:shd w:val="clear" w:color="auto" w:fill="FFFFFF"/>
          <w:lang w:eastAsia="zh-CN"/>
        </w:rPr>
        <w:t>公益一类事业单位</w:t>
      </w:r>
      <w:r>
        <w:rPr>
          <w:rFonts w:hint="default" w:ascii="Times New Roman" w:hAnsi="Times New Roman" w:eastAsia="方正仿宋_GBK" w:cs="Times New Roman"/>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lang w:eastAsia="zh-CN"/>
        </w:rPr>
        <w:t>“三公”经费</w:t>
      </w:r>
      <w:r>
        <w:rPr>
          <w:rFonts w:hint="default" w:ascii="Times New Roman" w:hAnsi="Times New Roman" w:eastAsia="方正仿宋_GBK" w:cs="Times New Roman"/>
          <w:b w:val="0"/>
          <w:bCs/>
          <w:sz w:val="32"/>
          <w:szCs w:val="32"/>
          <w:shd w:val="clear" w:color="auto" w:fill="FFFFFF"/>
        </w:rPr>
        <w:t>财政</w:t>
      </w:r>
      <w:r>
        <w:rPr>
          <w:rFonts w:hint="default" w:ascii="Times New Roman" w:hAnsi="Times New Roman" w:eastAsia="方正仿宋_GBK" w:cs="Times New Roman"/>
          <w:b w:val="0"/>
          <w:bCs/>
          <w:sz w:val="32"/>
          <w:szCs w:val="32"/>
          <w:shd w:val="clear" w:color="auto" w:fill="FFFFFF"/>
          <w:lang w:eastAsia="zh-CN"/>
        </w:rPr>
        <w:t>在本级安排予以保障，下级未安排预算支出。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仿宋_GBK" w:cs="Times New Roman"/>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（一）财政拨款会议费、培训费和差旅费情况说明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color w:val="auto"/>
          <w:sz w:val="32"/>
          <w:szCs w:val="32"/>
          <w:highlight w:val="yellow"/>
          <w:lang w:eastAsia="zh-CN"/>
        </w:rPr>
      </w:pPr>
      <w:r>
        <w:rPr>
          <w:rFonts w:hint="default" w:ascii="Times New Roman" w:hAnsi="Times New Roman" w:eastAsia="方正仿宋_GBK" w:cs="Times New Roman"/>
          <w:b w:val="0"/>
          <w:bCs/>
          <w:sz w:val="32"/>
          <w:szCs w:val="32"/>
          <w:shd w:val="clear" w:color="auto" w:fill="FFFFFF"/>
        </w:rPr>
        <w:t>本年度会议费支出0.00万元，与2023年度相比，无增减，本年度培训费支出0.01万元，与2023年度相比，减少0.35万元，下降97.2%，主要原因是</w:t>
      </w:r>
      <w:r>
        <w:rPr>
          <w:rFonts w:hint="default" w:ascii="Times New Roman" w:hAnsi="Times New Roman" w:eastAsia="方正仿宋_GBK" w:cs="Times New Roman"/>
          <w:b w:val="0"/>
          <w:bCs/>
          <w:sz w:val="32"/>
          <w:szCs w:val="32"/>
          <w:shd w:val="clear" w:color="auto" w:fill="FFFFFF"/>
          <w:lang w:val="en-US" w:eastAsia="zh-CN"/>
        </w:rPr>
        <w:t>培训减少。</w:t>
      </w:r>
      <w:r>
        <w:rPr>
          <w:rFonts w:hint="default" w:ascii="Times New Roman" w:hAnsi="Times New Roman" w:eastAsia="方正仿宋_GBK" w:cs="Times New Roman"/>
          <w:b w:val="0"/>
          <w:bCs/>
          <w:sz w:val="32"/>
          <w:szCs w:val="32"/>
          <w:shd w:val="clear" w:color="auto" w:fill="FFFFFF"/>
        </w:rPr>
        <w:t>本年度差旅费支出0.00</w:t>
      </w:r>
      <w:r>
        <w:rPr>
          <w:rFonts w:hint="default" w:ascii="Times New Roman" w:hAnsi="Times New Roman" w:eastAsia="方正仿宋_GBK" w:cs="Times New Roman"/>
          <w:b w:val="0"/>
          <w:bCs/>
          <w:sz w:val="32"/>
          <w:szCs w:val="32"/>
        </w:rPr>
        <w:t>万元，</w:t>
      </w:r>
      <w:r>
        <w:rPr>
          <w:rFonts w:hint="default" w:ascii="Times New Roman" w:hAnsi="Times New Roman" w:eastAsia="方正仿宋_GBK" w:cs="Times New Roman"/>
          <w:b w:val="0"/>
          <w:bCs/>
          <w:sz w:val="32"/>
          <w:szCs w:val="32"/>
          <w:shd w:val="clear" w:color="auto" w:fill="FFFFFF"/>
        </w:rPr>
        <w:t>与2023年度相比，无变化</w:t>
      </w:r>
      <w:r>
        <w:rPr>
          <w:rFonts w:hint="default" w:ascii="Times New Roman" w:hAnsi="Times New Roman" w:eastAsia="方正仿宋_GBK" w:cs="Times New Roman"/>
          <w:b w:val="0"/>
          <w:bCs/>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lang w:val="en-US" w:eastAsia="zh-CN"/>
        </w:rPr>
        <w:t>按照部门决算列报口径，我单位不在机关运行经费统计范围之内。</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shd w:val="clear" w:color="auto" w:fill="FFFFFF"/>
        </w:rPr>
        <w:t>截至2024年12月31日，本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共有车辆0辆，其中，副部（省）级及以上领导用车0辆、主要负责人用车0辆、机要通信用车0辆、应急保障用车0辆、执法执勤用车0辆，特种专业技术用车0辆，离退休干部用车0辆。单价100万元（含）以上专用设备0台（套）。</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rPr>
        <w:t>因</w:t>
      </w:r>
      <w:r>
        <w:rPr>
          <w:rFonts w:hint="default" w:ascii="Times New Roman" w:hAnsi="Times New Roman" w:eastAsia="方正仿宋_GBK" w:cs="Times New Roman"/>
          <w:b w:val="0"/>
          <w:bCs/>
          <w:sz w:val="32"/>
          <w:szCs w:val="32"/>
          <w:shd w:val="clear" w:color="auto" w:fill="FFFFFF"/>
          <w:lang w:val="en-US" w:eastAsia="zh-CN"/>
        </w:rPr>
        <w:t>2022年度以前本单位未独立核算，均与部门合并编报决算报表</w:t>
      </w:r>
      <w:r>
        <w:rPr>
          <w:rFonts w:hint="default" w:ascii="Times New Roman" w:hAnsi="Times New Roman" w:eastAsia="方正仿宋_GBK" w:cs="Times New Roman"/>
          <w:b w:val="0"/>
          <w:bCs/>
          <w:sz w:val="32"/>
          <w:szCs w:val="32"/>
          <w:shd w:val="clear" w:color="auto" w:fill="FFFFFF"/>
        </w:rPr>
        <w:t>原因，我单位资产</w:t>
      </w:r>
      <w:r>
        <w:rPr>
          <w:rFonts w:hint="default" w:ascii="Times New Roman" w:hAnsi="Times New Roman" w:eastAsia="方正仿宋_GBK" w:cs="Times New Roman"/>
          <w:b w:val="0"/>
          <w:bCs/>
          <w:sz w:val="32"/>
          <w:szCs w:val="32"/>
          <w:shd w:val="clear" w:color="auto" w:fill="FFFFFF"/>
          <w:lang w:eastAsia="zh-CN"/>
        </w:rPr>
        <w:t>未独立核算，仍计入退役军人事务局本级资产核算，所以我单位</w:t>
      </w:r>
      <w:r>
        <w:rPr>
          <w:rFonts w:hint="default" w:ascii="Times New Roman" w:hAnsi="Times New Roman" w:eastAsia="方正仿宋_GBK" w:cs="Times New Roman"/>
          <w:b w:val="0"/>
          <w:bCs/>
          <w:sz w:val="32"/>
          <w:szCs w:val="32"/>
          <w:shd w:val="clear" w:color="auto" w:fill="FFFFFF"/>
          <w:lang w:val="en-US" w:eastAsia="zh-CN"/>
        </w:rPr>
        <w:t>2024年度决算报表中列示</w:t>
      </w:r>
      <w:r>
        <w:rPr>
          <w:rFonts w:hint="default" w:ascii="Times New Roman" w:hAnsi="Times New Roman" w:eastAsia="方正仿宋_GBK" w:cs="Times New Roman"/>
          <w:b w:val="0"/>
          <w:bCs/>
          <w:sz w:val="32"/>
          <w:szCs w:val="32"/>
          <w:shd w:val="clear" w:color="auto" w:fill="FFFFFF"/>
        </w:rPr>
        <w:t>未</w:t>
      </w:r>
      <w:r>
        <w:rPr>
          <w:rFonts w:hint="default" w:ascii="Times New Roman" w:hAnsi="Times New Roman" w:eastAsia="方正仿宋_GBK" w:cs="Times New Roman"/>
          <w:b w:val="0"/>
          <w:bCs/>
          <w:sz w:val="32"/>
          <w:szCs w:val="32"/>
          <w:shd w:val="clear" w:color="auto" w:fill="FFFFFF"/>
          <w:lang w:eastAsia="zh-CN"/>
        </w:rPr>
        <w:t>占有国有资产。</w:t>
      </w:r>
    </w:p>
    <w:p>
      <w:pPr>
        <w:pStyle w:val="13"/>
        <w:keepNext w:val="0"/>
        <w:keepLines w:val="0"/>
        <w:pageBreakBefore w:val="0"/>
        <w:widowControl/>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b w:val="0"/>
          <w:bCs/>
          <w:sz w:val="32"/>
          <w:szCs w:val="32"/>
          <w:shd w:val="clear" w:color="auto" w:fill="FFFFFF"/>
          <w:lang w:eastAsia="zh-CN"/>
        </w:rPr>
      </w:pPr>
      <w:r>
        <w:rPr>
          <w:rFonts w:hint="default" w:ascii="Times New Roman" w:hAnsi="Times New Roman" w:eastAsia="方正仿宋_GBK" w:cs="Times New Roman"/>
          <w:b w:val="0"/>
          <w:bCs/>
          <w:sz w:val="32"/>
          <w:szCs w:val="32"/>
          <w:shd w:val="clear" w:color="auto" w:fill="FFFFFF"/>
          <w:lang w:eastAsia="zh-CN"/>
        </w:rPr>
        <w:t>2024年度我</w:t>
      </w:r>
      <w:r>
        <w:rPr>
          <w:rFonts w:hint="default"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lang w:eastAsia="zh-CN"/>
        </w:rPr>
        <w:t>未发生政府采购事项，无相关经费支出。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lang w:val="en-US" w:eastAsia="zh-CN" w:bidi="ar-SA"/>
        </w:rPr>
      </w:pPr>
      <w:r>
        <w:rPr>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lang w:val="en-US" w:eastAsia="zh-CN" w:bidi="ar-SA"/>
        </w:rPr>
        <w:t>2024年度预算绩效管理情况说明</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kern w:val="0"/>
          <w:sz w:val="32"/>
          <w:szCs w:val="32"/>
          <w:shd w:val="clear" w:fill="FFFFFF"/>
        </w:rPr>
      </w:pPr>
      <w:r>
        <w:rPr>
          <w:rFonts w:hint="eastAsia" w:ascii="方正楷体_GBK" w:hAnsi="方正楷体_GBK" w:eastAsia="方正楷体_GBK" w:cs="方正楷体_GBK"/>
          <w:b w:val="0"/>
          <w:bCs/>
          <w:kern w:val="0"/>
          <w:sz w:val="32"/>
          <w:szCs w:val="32"/>
          <w:shd w:val="clear" w:fill="FFFFFF"/>
        </w:rPr>
        <w:t>（一）单位自评情况</w:t>
      </w:r>
    </w:p>
    <w:p>
      <w:pPr>
        <w:pStyle w:val="8"/>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lang w:val="en-US" w:eastAsia="zh-CN"/>
        </w:rPr>
        <w:t>我单位为退役军人事务局下设公益一类事业单位无涉及财政拨款项目设置，未开展预算绩效管理。</w:t>
      </w:r>
    </w:p>
    <w:p>
      <w:pPr>
        <w:pStyle w:val="1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firstLine="640" w:firstLineChars="200"/>
        <w:jc w:val="left"/>
        <w:textAlignment w:val="auto"/>
        <w:rPr>
          <w:rFonts w:hint="default" w:ascii="方正楷体_GBK" w:hAnsi="方正楷体_GBK" w:eastAsia="方正楷体_GBK" w:cs="方正楷体_GBK"/>
          <w:b w:val="0"/>
          <w:bCs/>
          <w:kern w:val="0"/>
          <w:sz w:val="32"/>
          <w:szCs w:val="32"/>
          <w:shd w:val="clear" w:fill="FFFFFF"/>
        </w:rPr>
      </w:pPr>
      <w:r>
        <w:rPr>
          <w:rFonts w:hint="default" w:ascii="方正楷体_GBK" w:hAnsi="方正楷体_GBK" w:eastAsia="方正楷体_GBK" w:cs="方正楷体_GBK"/>
          <w:b w:val="0"/>
          <w:bCs/>
          <w:kern w:val="0"/>
          <w:sz w:val="32"/>
          <w:szCs w:val="32"/>
          <w:shd w:val="clear" w:fill="FFFFFF"/>
        </w:rPr>
        <w:t>（二）</w:t>
      </w:r>
      <w:r>
        <w:rPr>
          <w:rFonts w:hint="default" w:ascii="方正楷体_GBK" w:hAnsi="方正楷体_GBK" w:eastAsia="方正楷体_GBK" w:cs="方正楷体_GBK"/>
          <w:b w:val="0"/>
          <w:bCs/>
          <w:kern w:val="0"/>
          <w:sz w:val="32"/>
          <w:szCs w:val="32"/>
          <w:shd w:val="clear" w:fill="FFFFFF"/>
          <w:lang w:val="en-US" w:eastAsia="zh-CN"/>
        </w:rPr>
        <w:t>单位</w:t>
      </w:r>
      <w:r>
        <w:rPr>
          <w:rFonts w:hint="default" w:ascii="方正楷体_GBK" w:hAnsi="方正楷体_GBK" w:eastAsia="方正楷体_GBK" w:cs="方正楷体_GBK"/>
          <w:b w:val="0"/>
          <w:bCs/>
          <w:kern w:val="0"/>
          <w:sz w:val="32"/>
          <w:szCs w:val="32"/>
          <w:shd w:val="clear" w:fill="FFFFFF"/>
        </w:rPr>
        <w:t>绩效评价情况</w:t>
      </w:r>
    </w:p>
    <w:p>
      <w:pPr>
        <w:pStyle w:val="13"/>
        <w:keepNext w:val="0"/>
        <w:keepLines w:val="0"/>
        <w:pageBreakBefore w:val="0"/>
        <w:widowControl/>
        <w:numPr>
          <w:ilvl w:val="0"/>
          <w:numId w:val="0"/>
        </w:numPr>
        <w:kinsoku/>
        <w:wordWrap/>
        <w:overflowPunct/>
        <w:topLinePunct w:val="0"/>
        <w:autoSpaceDE w:val="0"/>
        <w:autoSpaceDN/>
        <w:bidi w:val="0"/>
        <w:adjustRightInd/>
        <w:spacing w:beforeAutospacing="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bidi="ar-SA"/>
        </w:rPr>
      </w:pPr>
      <w:r>
        <w:rPr>
          <w:rFonts w:hint="default" w:ascii="Times New Roman" w:hAnsi="Times New Roman" w:eastAsia="方正仿宋_GBK" w:cs="Times New Roman"/>
          <w:b w:val="0"/>
          <w:bCs/>
          <w:sz w:val="32"/>
          <w:szCs w:val="32"/>
          <w:shd w:val="clear" w:color="auto" w:fill="FFFFFF"/>
          <w:lang w:val="en-US" w:eastAsia="zh-CN" w:bidi="ar-SA"/>
        </w:rPr>
        <w:t>我单位未开展绩效管理。</w:t>
      </w:r>
    </w:p>
    <w:p>
      <w:pPr>
        <w:pStyle w:val="18"/>
        <w:keepNext w:val="0"/>
        <w:keepLines w:val="0"/>
        <w:pageBreakBefore w:val="0"/>
        <w:widowControl/>
        <w:kinsoku/>
        <w:wordWrap/>
        <w:overflowPunct/>
        <w:topLinePunct w:val="0"/>
        <w:autoSpaceDE w:val="0"/>
        <w:autoSpaceDN/>
        <w:bidi w:val="0"/>
        <w:adjustRightInd/>
        <w:snapToGrid/>
        <w:spacing w:after="0" w:afterAutospacing="0" w:line="560" w:lineRule="exact"/>
        <w:ind w:left="0" w:firstLine="640" w:firstLineChars="200"/>
        <w:jc w:val="left"/>
        <w:textAlignment w:val="auto"/>
        <w:rPr>
          <w:rFonts w:hint="default" w:ascii="Times New Roman" w:hAnsi="Times New Roman" w:eastAsia="方正仿宋_GBK" w:cs="Times New Roman"/>
          <w:b w:val="0"/>
          <w:bCs/>
          <w:kern w:val="0"/>
          <w:sz w:val="32"/>
          <w:szCs w:val="32"/>
          <w:shd w:val="clear" w:fill="FFFFFF"/>
        </w:rPr>
      </w:pPr>
      <w:r>
        <w:rPr>
          <w:rFonts w:hint="default" w:ascii="方正楷体_GBK" w:hAnsi="方正楷体_GBK" w:eastAsia="方正楷体_GBK" w:cs="方正楷体_GBK"/>
          <w:b w:val="0"/>
          <w:bCs/>
          <w:kern w:val="0"/>
          <w:sz w:val="32"/>
          <w:szCs w:val="32"/>
          <w:shd w:val="clear" w:fill="FFFFFF"/>
          <w:lang w:val="en-US" w:eastAsia="zh-CN" w:bidi="ar-SA"/>
        </w:rPr>
        <w:t>（三）财政绩效评价情况</w:t>
      </w:r>
    </w:p>
    <w:p>
      <w:pPr>
        <w:pStyle w:val="13"/>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left"/>
        <w:textAlignment w:val="auto"/>
        <w:rPr>
          <w:rFonts w:hint="default" w:ascii="Times New Roman" w:hAnsi="Times New Roman" w:eastAsia="方正仿宋_GBK" w:cs="Times New Roman"/>
          <w:b w:val="0"/>
          <w:bCs/>
          <w:sz w:val="32"/>
          <w:szCs w:val="32"/>
          <w:shd w:val="clear" w:color="auto" w:fill="FFFFFF"/>
          <w:lang w:val="en-US" w:eastAsia="zh-CN"/>
        </w:rPr>
      </w:pPr>
      <w:r>
        <w:rPr>
          <w:rFonts w:hint="default" w:ascii="Times New Roman" w:hAnsi="Times New Roman" w:eastAsia="方正仿宋_GBK" w:cs="Times New Roman"/>
          <w:b w:val="0"/>
          <w:bCs/>
          <w:sz w:val="32"/>
          <w:szCs w:val="32"/>
          <w:shd w:val="clear" w:color="auto" w:fill="FFFFFF"/>
          <w:lang w:val="en-US" w:eastAsia="zh-CN" w:bidi="ar-SA"/>
        </w:rPr>
        <w:t>县财政局未委托第三方对我单位开展绩效评价。</w:t>
      </w:r>
    </w:p>
    <w:p>
      <w:pPr>
        <w:pStyle w:val="8"/>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left"/>
        <w:textAlignment w:val="auto"/>
        <w:rPr>
          <w:rStyle w:val="10"/>
          <w:rFonts w:hint="default" w:ascii="Times New Roman" w:hAnsi="Times New Roman" w:eastAsia="方正仿宋_GBK" w:cs="Times New Roman"/>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六</w:t>
      </w:r>
      <w:r>
        <w:rPr>
          <w:rStyle w:val="10"/>
          <w:rFonts w:hint="eastAsia" w:ascii="方正黑体_GBK" w:hAnsi="方正黑体_GBK" w:eastAsia="方正黑体_GBK" w:cs="方正黑体_GBK"/>
          <w:b w:val="0"/>
          <w:bCs/>
          <w:sz w:val="32"/>
          <w:szCs w:val="32"/>
          <w:shd w:val="clear" w:color="auto" w:fill="FFFFFF"/>
        </w:rPr>
        <w:t>、专业名词解释</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Fonts w:hint="eastAsia" w:ascii="方正楷体_GBK" w:hAnsi="方正楷体_GBK" w:eastAsia="方正楷体_GBK" w:cs="方正楷体_GBK"/>
          <w:b w:val="0"/>
          <w:bCs/>
          <w:sz w:val="32"/>
          <w:szCs w:val="32"/>
          <w:shd w:val="clear" w:color="auto" w:fill="FFFFFF"/>
        </w:rPr>
        <w:t>（一）财政拨款收入：</w:t>
      </w:r>
      <w:r>
        <w:rPr>
          <w:rFonts w:hint="default" w:ascii="Times New Roman" w:hAnsi="Times New Roman" w:eastAsia="方正仿宋_GBK" w:cs="Times New Roman"/>
          <w:b w:val="0"/>
          <w:bCs/>
          <w:sz w:val="32"/>
          <w:szCs w:val="32"/>
          <w:shd w:val="clear" w:color="auto" w:fill="FFFFFF"/>
        </w:rPr>
        <w:t>指本年度从本级财政部门取得的财政拨款。</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指事业单位开展专业业务活动及其辅助活动取得的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（三）经营收入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指事业单位在专业业务活动及其辅助活动之外开展非独立核算经营活动取得的</w:t>
      </w:r>
      <w:r>
        <w:rPr>
          <w:rFonts w:hint="default" w:ascii="Times New Roman" w:hAnsi="Times New Roman" w:eastAsia="方正仿宋_GBK" w:cs="Times New Roman"/>
          <w:b w:val="0"/>
          <w:bCs/>
          <w:sz w:val="32"/>
          <w:szCs w:val="32"/>
          <w:shd w:val="clear" w:color="auto" w:fill="FFFFFF"/>
          <w:lang w:eastAsia="zh-CN"/>
        </w:rPr>
        <w:t>收入</w:t>
      </w:r>
      <w:r>
        <w:rPr>
          <w:rFonts w:hint="default" w:ascii="Times New Roman" w:hAnsi="Times New Roman" w:eastAsia="方正仿宋_GBK" w:cs="Times New Roman"/>
          <w:b w:val="0"/>
          <w:bCs/>
          <w:sz w:val="32"/>
          <w:szCs w:val="32"/>
          <w:shd w:val="clear" w:color="auto" w:fill="FFFFFF"/>
        </w:rPr>
        <w:t>。</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Style w:val="10"/>
          <w:rFonts w:hint="eastAsia" w:ascii="方正楷体_GBK" w:hAnsi="方正楷体_GBK" w:eastAsia="方正楷体_GBK" w:cs="方正楷体_GBK"/>
          <w:b w:val="0"/>
          <w:bCs/>
          <w:sz w:val="32"/>
          <w:szCs w:val="32"/>
          <w:shd w:val="clear" w:color="auto" w:fill="FFFFFF"/>
          <w:lang w:eastAsia="zh-CN"/>
        </w:rPr>
        <w:t>（含专用结余）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w:t>
      </w:r>
      <w:r>
        <w:rPr>
          <w:rFonts w:hint="default" w:ascii="Times New Roman" w:hAnsi="Times New Roman" w:eastAsia="方正仿宋_GBK" w:cs="Times New Roman"/>
          <w:b w:val="0"/>
          <w:bCs/>
          <w:sz w:val="32"/>
          <w:szCs w:val="32"/>
          <w:shd w:val="clear" w:color="auto" w:fill="FFFFFF"/>
          <w:lang w:eastAsia="zh-CN"/>
        </w:rPr>
        <w:t>事业单位按照预算管理要求使用非财政拨款结余弥补收支差额的金额，以及使用专用结余安排支出的金额。</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指单位上年结转本年使用的基本支出结转、项目支出结转和结余、经营结余。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（八）年末结转和结余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指单位结转下年的基本支出结转、项目支出结转和结余、经营结余。</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指在基本支出之外为完成特定行政任务和事业发展目标所发生的支出。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指事业单位在专业业务活动及其辅助活动之外开展非独立核算经营活动发生的支出。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反映单位购买商品和服务的支出（不包括用于购置固定资产的支出、战略性和应急储备支出）。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rPr>
      </w:pPr>
      <w:r>
        <w:rPr>
          <w:rStyle w:val="10"/>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反映用于对个人和家庭的补助支出。</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七</w:t>
      </w:r>
      <w:r>
        <w:rPr>
          <w:rStyle w:val="10"/>
          <w:rFonts w:hint="eastAsia" w:ascii="方正黑体_GBK" w:hAnsi="方正黑体_GBK" w:eastAsia="方正黑体_GBK" w:cs="方正黑体_GBK"/>
          <w:b w:val="0"/>
          <w:bCs/>
          <w:sz w:val="32"/>
          <w:szCs w:val="32"/>
          <w:shd w:val="clear" w:color="auto" w:fill="FFFFFF"/>
        </w:rPr>
        <w:t>、决算公开联系方式及信息反馈渠道</w:t>
      </w:r>
    </w:p>
    <w:p>
      <w:pPr>
        <w:pStyle w:val="8"/>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b w:val="0"/>
          <w:bCs/>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sz w:val="32"/>
          <w:szCs w:val="32"/>
          <w:shd w:val="clear" w:color="auto" w:fill="FFFFFF"/>
        </w:rPr>
        <w:t>本</w:t>
      </w:r>
      <w:r>
        <w:rPr>
          <w:rFonts w:hint="eastAsia" w:ascii="Times New Roman" w:hAnsi="Times New Roman" w:eastAsia="方正仿宋_GBK" w:cs="Times New Roman"/>
          <w:b w:val="0"/>
          <w:bCs/>
          <w:sz w:val="32"/>
          <w:szCs w:val="32"/>
          <w:shd w:val="clear" w:color="auto" w:fill="FFFFFF"/>
          <w:lang w:val="en-US" w:eastAsia="zh-CN"/>
        </w:rPr>
        <w:t>单位</w:t>
      </w:r>
      <w:r>
        <w:rPr>
          <w:rFonts w:hint="default" w:ascii="Times New Roman" w:hAnsi="Times New Roman" w:eastAsia="方正仿宋_GBK" w:cs="Times New Roman"/>
          <w:b w:val="0"/>
          <w:bCs/>
          <w:sz w:val="32"/>
          <w:szCs w:val="32"/>
          <w:shd w:val="clear" w:color="auto" w:fill="FFFFFF"/>
        </w:rPr>
        <w:t>决算公开信息反馈和联系方式：</w:t>
      </w:r>
      <w:r>
        <w:rPr>
          <w:rFonts w:hint="default" w:ascii="Times New Roman" w:hAnsi="Times New Roman" w:eastAsia="方正仿宋_GBK" w:cs="Times New Roman"/>
          <w:b w:val="0"/>
          <w:bCs/>
          <w:sz w:val="32"/>
          <w:szCs w:val="32"/>
          <w:shd w:val="clear" w:color="auto" w:fill="FFFFFF"/>
          <w:lang w:val="en-US" w:eastAsia="zh-CN"/>
        </w:rPr>
        <w:t>023-76895079</w:t>
      </w:r>
    </w:p>
    <w:tbl>
      <w:tblPr>
        <w:tblStyle w:val="11"/>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部门：</w:t>
            </w:r>
            <w:r>
              <w:rPr>
                <w:sz w:val="20"/>
                <w:u w:color="auto"/>
              </w:rPr>
              <w:t>秀山土家族苗族自治县退役军人服务中心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125.70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140.24</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140.24</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503" w:type="dxa"/>
        <w:tblInd w:w="0" w:type="dxa"/>
        <w:tblLayout w:type="fixed"/>
        <w:tblCellMar>
          <w:top w:w="0" w:type="dxa"/>
          <w:left w:w="0" w:type="dxa"/>
          <w:bottom w:w="0" w:type="dxa"/>
          <w:right w:w="0" w:type="dxa"/>
        </w:tblCellMar>
      </w:tblPr>
      <w:tblGrid>
        <w:gridCol w:w="1436"/>
        <w:gridCol w:w="3116"/>
        <w:gridCol w:w="1349"/>
        <w:gridCol w:w="1408"/>
        <w:gridCol w:w="1228"/>
        <w:gridCol w:w="1228"/>
        <w:gridCol w:w="1361"/>
        <w:gridCol w:w="1299"/>
        <w:gridCol w:w="1432"/>
        <w:gridCol w:w="1646"/>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90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sz w:val="20"/>
                <w:u w:color="auto"/>
              </w:rPr>
              <w:t>秀山土家族苗族自治县退役军人服务中心</w:t>
            </w: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90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55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4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4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14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4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1"/>
        <w:tblW w:w="15322" w:type="dxa"/>
        <w:tblInd w:w="0" w:type="dxa"/>
        <w:tblLayout w:type="fixed"/>
        <w:tblCellMar>
          <w:top w:w="0" w:type="dxa"/>
          <w:left w:w="0" w:type="dxa"/>
          <w:bottom w:w="0" w:type="dxa"/>
          <w:right w:w="0" w:type="dxa"/>
        </w:tblCellMar>
      </w:tblPr>
      <w:tblGrid>
        <w:gridCol w:w="1483"/>
        <w:gridCol w:w="3552"/>
        <w:gridCol w:w="1667"/>
        <w:gridCol w:w="1716"/>
        <w:gridCol w:w="1649"/>
        <w:gridCol w:w="1581"/>
        <w:gridCol w:w="1716"/>
        <w:gridCol w:w="195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70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 xml:space="preserve">秀山土家族苗族自治县退役军人服务中心 </w:t>
            </w: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70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8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48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48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5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4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1"/>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秀山土家族苗族自治县退役军人服务中心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125.70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140.24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秀山土家族苗族自治县退役军人服务中心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140.24</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125.70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20.21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105.49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105.49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7.52</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1"/>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部门</w:t>
            </w:r>
            <w:r>
              <w:rPr>
                <w:rFonts w:cs="宋体"/>
                <w:color w:val="000000"/>
                <w:sz w:val="20"/>
                <w:szCs w:val="20"/>
              </w:rPr>
              <w:t>：</w:t>
            </w:r>
            <w:r>
              <w:rPr>
                <w:color w:val="000000"/>
                <w:sz w:val="20"/>
                <w:u w:color="auto"/>
              </w:rPr>
              <w:t>秀山土家族苗族自治县退役军人服务中心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4.63</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58.67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131.00</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秀山土家族苗族自治县退役军人服务中心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1"/>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部门</w:t>
            </w:r>
            <w:r>
              <w:rPr>
                <w:rFonts w:cs="宋体"/>
                <w:color w:val="000000"/>
                <w:sz w:val="20"/>
                <w:szCs w:val="20"/>
              </w:rPr>
              <w:t>：</w:t>
            </w:r>
            <w:r>
              <w:rPr>
                <w:color w:val="000000"/>
                <w:sz w:val="20"/>
                <w:u w:color="auto"/>
              </w:rPr>
              <w:t>秀山土家族苗族自治县退役军人服务中心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1"/>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部门</w:t>
            </w:r>
            <w:r>
              <w:rPr>
                <w:rFonts w:cs="宋体"/>
                <w:color w:val="000000"/>
                <w:kern w:val="2"/>
                <w:sz w:val="20"/>
                <w:szCs w:val="20"/>
              </w:rPr>
              <w:t>：</w:t>
            </w:r>
            <w:r>
              <w:rPr>
                <w:color w:val="000000"/>
                <w:sz w:val="20"/>
                <w:u w:color="auto"/>
              </w:rPr>
              <w:t>秀山土家族苗族自治县退役军人服务中心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13346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B3940"/>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9D5716"/>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B6F15B6"/>
    <w:rsid w:val="1BAA2EDC"/>
    <w:rsid w:val="1C5C0973"/>
    <w:rsid w:val="1CA55E64"/>
    <w:rsid w:val="1D014A01"/>
    <w:rsid w:val="1D022362"/>
    <w:rsid w:val="1D1B04B0"/>
    <w:rsid w:val="1D6534C4"/>
    <w:rsid w:val="1DBD6767"/>
    <w:rsid w:val="1DC52125"/>
    <w:rsid w:val="1DD26311"/>
    <w:rsid w:val="1E374ACB"/>
    <w:rsid w:val="1E5E27E3"/>
    <w:rsid w:val="1EA33588"/>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4D92688"/>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D45FD0"/>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0F67B6"/>
    <w:rsid w:val="40D54604"/>
    <w:rsid w:val="40F16DC2"/>
    <w:rsid w:val="411B6CE5"/>
    <w:rsid w:val="412070D7"/>
    <w:rsid w:val="41314E40"/>
    <w:rsid w:val="41E0734B"/>
    <w:rsid w:val="426554D0"/>
    <w:rsid w:val="426C1EA8"/>
    <w:rsid w:val="42736402"/>
    <w:rsid w:val="42E86A87"/>
    <w:rsid w:val="43307B09"/>
    <w:rsid w:val="43470647"/>
    <w:rsid w:val="438D0E97"/>
    <w:rsid w:val="43BB152F"/>
    <w:rsid w:val="44494994"/>
    <w:rsid w:val="44B96DCF"/>
    <w:rsid w:val="44C37687"/>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F2D4A41"/>
    <w:rsid w:val="5FFC03AC"/>
    <w:rsid w:val="60C74F6C"/>
    <w:rsid w:val="60F81AB5"/>
    <w:rsid w:val="61025A59"/>
    <w:rsid w:val="613D5BBC"/>
    <w:rsid w:val="61536C39"/>
    <w:rsid w:val="61E64F4A"/>
    <w:rsid w:val="623E0993"/>
    <w:rsid w:val="62944DD7"/>
    <w:rsid w:val="6319381F"/>
    <w:rsid w:val="63236436"/>
    <w:rsid w:val="63303185"/>
    <w:rsid w:val="63C25DC5"/>
    <w:rsid w:val="63C62057"/>
    <w:rsid w:val="64571EF5"/>
    <w:rsid w:val="64CB0157"/>
    <w:rsid w:val="64FB113D"/>
    <w:rsid w:val="65036946"/>
    <w:rsid w:val="654A25FE"/>
    <w:rsid w:val="656152C6"/>
    <w:rsid w:val="6587477F"/>
    <w:rsid w:val="658C3A08"/>
    <w:rsid w:val="65C031CA"/>
    <w:rsid w:val="65CE6852"/>
    <w:rsid w:val="65EB6584"/>
    <w:rsid w:val="66267C04"/>
    <w:rsid w:val="663F505A"/>
    <w:rsid w:val="66967186"/>
    <w:rsid w:val="66EE5541"/>
    <w:rsid w:val="67924660"/>
    <w:rsid w:val="67B3608E"/>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EA5552"/>
    <w:rsid w:val="6EFD1324"/>
    <w:rsid w:val="6F5A53AC"/>
    <w:rsid w:val="6FAC003D"/>
    <w:rsid w:val="6FE55E12"/>
    <w:rsid w:val="6FFB2E76"/>
    <w:rsid w:val="708F6F7F"/>
    <w:rsid w:val="70D94BD3"/>
    <w:rsid w:val="71C34D91"/>
    <w:rsid w:val="72DB435C"/>
    <w:rsid w:val="72E2613A"/>
    <w:rsid w:val="72F771F4"/>
    <w:rsid w:val="734150D5"/>
    <w:rsid w:val="736650B0"/>
    <w:rsid w:val="73934AD2"/>
    <w:rsid w:val="73BB38AB"/>
    <w:rsid w:val="750837F0"/>
    <w:rsid w:val="754758CF"/>
    <w:rsid w:val="761275E6"/>
    <w:rsid w:val="764F62AB"/>
    <w:rsid w:val="765C45EC"/>
    <w:rsid w:val="768A7619"/>
    <w:rsid w:val="772E1EBA"/>
    <w:rsid w:val="772F21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7F8401D1"/>
    <w:rsid w:val="7FAC32D7"/>
    <w:rsid w:val="7FCBB0D4"/>
    <w:rsid w:val="DF77F7BE"/>
    <w:rsid w:val="EDFB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0">
    <w:name w:val="Strong"/>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4"/>
    <w:qFormat/>
    <w:uiPriority w:val="0"/>
    <w:rPr>
      <w:rFonts w:ascii="宋体" w:hAnsi="宋体"/>
      <w:sz w:val="18"/>
      <w:szCs w:val="18"/>
    </w:rPr>
  </w:style>
  <w:style w:type="paragraph" w:customStyle="1" w:styleId="18">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3933</Words>
  <Characters>22421</Characters>
  <Lines>186</Lines>
  <Paragraphs>52</Paragraphs>
  <TotalTime>11</TotalTime>
  <ScaleCrop>false</ScaleCrop>
  <LinksUpToDate>false</LinksUpToDate>
  <CharactersWithSpaces>26302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2025-06-27T07:40:00Z</dcterms:created>
  <dc:creator>Administrator</dc:creator>
  <cp:lastModifiedBy>国库科</cp:lastModifiedBy>
  <dcterms:modified xsi:type="dcterms:W3CDTF">2025-10-14T09:13:45Z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