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8"/>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pacing w:val="-20"/>
          <w:sz w:val="44"/>
          <w:szCs w:val="44"/>
        </w:rPr>
        <w:t>秀山土家族苗族自治县军队转业干部服务中心</w:t>
      </w:r>
      <w:r>
        <w:rPr>
          <w:rFonts w:hint="default" w:ascii="Times New Roman" w:hAnsi="Times New Roman" w:eastAsia="方正小标宋_GBK" w:cs="Times New Roman"/>
          <w:b w:val="0"/>
          <w:bCs w:val="0"/>
          <w:sz w:val="44"/>
          <w:szCs w:val="44"/>
          <w:shd w:val="clear" w:color="auto" w:fill="FFFFFF"/>
        </w:rPr>
        <w:t>2024年度决算公开说明</w:t>
      </w:r>
    </w:p>
    <w:p>
      <w:pPr>
        <w:pStyle w:val="8"/>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一、</w:t>
      </w:r>
      <w:r>
        <w:rPr>
          <w:rStyle w:val="10"/>
          <w:rFonts w:hint="eastAsia" w:ascii="方正黑体_GBK" w:hAnsi="方正黑体_GBK" w:eastAsia="方正黑体_GBK" w:cs="方正黑体_GBK"/>
          <w:b w:val="0"/>
          <w:bCs w:val="0"/>
          <w:sz w:val="32"/>
          <w:szCs w:val="32"/>
          <w:shd w:val="clear" w:color="auto" w:fill="FFFFFF"/>
          <w:lang w:val="en-US" w:eastAsia="zh-CN"/>
        </w:rPr>
        <w:t>单位</w:t>
      </w:r>
      <w:r>
        <w:rPr>
          <w:rStyle w:val="10"/>
          <w:rFonts w:hint="eastAsia" w:ascii="方正黑体_GBK" w:hAnsi="方正黑体_GBK" w:eastAsia="方正黑体_GBK" w:cs="方正黑体_GBK"/>
          <w:b w:val="0"/>
          <w:bCs w:val="0"/>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拟订并组织实施军队转业干部安置、培训、随调随迁家属安置政策和安置计划，完善培训和安置制度；承担军转干部安置工作，组织拟订部分企业军转干部管理服务工作；负责政府安置的军队离退休干部接收、管理和服务工作；负责按照国家和军队有关政策规定落实军队离退休干部的政治和生活待遇；负责军队离退休干部的土地、用房、车辆、设施设备和国有资产管理工作；负责军队离退休干部思想政治工作和党的建设工伤；组织开展适合军队离退休干部特点的文化体育活动和社会公益活动；负责按照国家和军队有关政策规定落实现役军人军属、军烈属相关待遇；</w:t>
      </w:r>
      <w:r>
        <w:rPr>
          <w:rFonts w:hint="default" w:ascii="Times New Roman" w:hAnsi="Times New Roman" w:eastAsia="方正仿宋_GBK" w:cs="Times New Roman"/>
          <w:b w:val="0"/>
          <w:bCs w:val="0"/>
          <w:color w:val="auto"/>
          <w:sz w:val="32"/>
          <w:szCs w:val="32"/>
        </w:rPr>
        <w:t>完成主管部门交办的其他任务。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（二）机构设置</w:t>
      </w:r>
    </w:p>
    <w:p>
      <w:pPr>
        <w:keepNext w:val="0"/>
        <w:keepLines w:val="0"/>
        <w:pageBreakBefore w:val="0"/>
        <w:kinsoku/>
        <w:wordWrap/>
        <w:overflowPunct/>
        <w:topLinePunct w:val="0"/>
        <w:autoSpaceDN/>
        <w:bidi w:val="0"/>
        <w:adjustRightInd/>
        <w:snapToGrid w:val="0"/>
        <w:spacing w:beforeAutospacing="0" w:afterAutospacing="0" w:line="560" w:lineRule="exact"/>
        <w:ind w:left="0" w:firstLine="640" w:firstLineChars="200"/>
        <w:jc w:val="left"/>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rPr>
        <w:t>重庆市秀山县</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军队转业干部服务中心</w:t>
      </w:r>
      <w:r>
        <w:rPr>
          <w:rFonts w:hint="default" w:ascii="Times New Roman" w:hAnsi="Times New Roman" w:eastAsia="方正仿宋_GBK" w:cs="Times New Roman"/>
          <w:b w:val="0"/>
          <w:bCs w:val="0"/>
          <w:i w:val="0"/>
          <w:iCs w:val="0"/>
          <w:caps w:val="0"/>
          <w:color w:val="auto"/>
          <w:spacing w:val="0"/>
          <w:sz w:val="32"/>
          <w:szCs w:val="32"/>
          <w:shd w:val="clear" w:color="auto" w:fill="FFFFFF"/>
        </w:rPr>
        <w:t>为</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重庆市秀山县退役军人事务局管理的公益一类副科级事业单位</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未设置内设科室。</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二、</w:t>
      </w:r>
      <w:r>
        <w:rPr>
          <w:rStyle w:val="10"/>
          <w:rFonts w:hint="eastAsia" w:ascii="方正黑体_GBK" w:hAnsi="方正黑体_GBK" w:eastAsia="方正黑体_GBK" w:cs="方正黑体_GBK"/>
          <w:b w:val="0"/>
          <w:bCs w:val="0"/>
          <w:sz w:val="32"/>
          <w:szCs w:val="32"/>
          <w:shd w:val="clear" w:color="auto" w:fill="FFFFFF"/>
          <w:lang w:val="en-US" w:eastAsia="zh-CN"/>
        </w:rPr>
        <w:t>单位</w:t>
      </w:r>
      <w:r>
        <w:rPr>
          <w:rStyle w:val="10"/>
          <w:rFonts w:hint="eastAsia" w:ascii="方正黑体_GBK" w:hAnsi="方正黑体_GBK" w:eastAsia="方正黑体_GBK" w:cs="方正黑体_GBK"/>
          <w:b w:val="0"/>
          <w:bCs w:val="0"/>
          <w:sz w:val="32"/>
          <w:szCs w:val="32"/>
          <w:shd w:val="clear" w:color="auto" w:fill="FFFFFF"/>
        </w:rPr>
        <w:t>决算</w:t>
      </w:r>
      <w:r>
        <w:rPr>
          <w:rStyle w:val="10"/>
          <w:rFonts w:hint="eastAsia" w:ascii="方正黑体_GBK" w:hAnsi="方正黑体_GBK" w:eastAsia="方正黑体_GBK" w:cs="方正黑体_GBK"/>
          <w:b w:val="0"/>
          <w:bCs w:val="0"/>
          <w:sz w:val="32"/>
          <w:szCs w:val="32"/>
          <w:shd w:val="clear" w:color="auto" w:fill="FFFFFF"/>
          <w:lang w:eastAsia="zh-CN"/>
        </w:rPr>
        <w:t>收支</w:t>
      </w:r>
      <w:r>
        <w:rPr>
          <w:rStyle w:val="10"/>
          <w:rFonts w:hint="eastAsia" w:ascii="方正黑体_GBK" w:hAnsi="方正黑体_GBK" w:eastAsia="方正黑体_GBK" w:cs="方正黑体_GBK"/>
          <w:b w:val="0"/>
          <w:bCs w:val="0"/>
          <w:sz w:val="32"/>
          <w:szCs w:val="32"/>
          <w:shd w:val="clear" w:color="auto" w:fill="FFFFFF"/>
        </w:rPr>
        <w:t>情况说明</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2024年度收</w:t>
      </w:r>
      <w:r>
        <w:rPr>
          <w:rFonts w:hint="default" w:ascii="Times New Roman" w:hAnsi="Times New Roman" w:eastAsia="方正仿宋_GBK" w:cs="Times New Roman"/>
          <w:b w:val="0"/>
          <w:bCs w:val="0"/>
          <w:sz w:val="32"/>
          <w:szCs w:val="32"/>
          <w:shd w:val="clear" w:color="auto" w:fill="FFFFFF"/>
          <w:lang w:eastAsia="zh-CN"/>
        </w:rPr>
        <w:t>、支</w:t>
      </w:r>
      <w:r>
        <w:rPr>
          <w:rFonts w:hint="default" w:ascii="Times New Roman" w:hAnsi="Times New Roman" w:eastAsia="方正仿宋_GBK" w:cs="Times New Roman"/>
          <w:b w:val="0"/>
          <w:bCs w:val="0"/>
          <w:sz w:val="32"/>
          <w:szCs w:val="32"/>
          <w:shd w:val="clear" w:color="auto" w:fill="FFFFFF"/>
        </w:rPr>
        <w:t>总计</w:t>
      </w:r>
      <w:r>
        <w:rPr>
          <w:rFonts w:hint="default" w:ascii="Times New Roman" w:hAnsi="Times New Roman" w:eastAsia="方正仿宋_GBK" w:cs="Times New Roman"/>
          <w:b w:val="0"/>
          <w:bCs w:val="0"/>
          <w:sz w:val="32"/>
          <w:szCs w:val="32"/>
          <w:shd w:val="clear" w:color="auto" w:fill="FFFFFF"/>
          <w:lang w:eastAsia="zh-CN"/>
        </w:rPr>
        <w:t>均为</w:t>
      </w:r>
      <w:r>
        <w:rPr>
          <w:rFonts w:hint="default" w:ascii="Times New Roman" w:hAnsi="Times New Roman" w:eastAsia="方正仿宋_GBK" w:cs="Times New Roman"/>
          <w:b w:val="0"/>
          <w:bCs w:val="0"/>
          <w:sz w:val="32"/>
          <w:szCs w:val="32"/>
          <w:shd w:val="clear" w:color="auto" w:fill="FFFFFF"/>
        </w:rPr>
        <w:t>113.17万元。收、支与2023年度相比，减少11.42万元，下降9.2%，主要原因是</w:t>
      </w:r>
      <w:r>
        <w:rPr>
          <w:rFonts w:hint="default" w:ascii="Times New Roman" w:hAnsi="Times New Roman" w:eastAsia="方正仿宋_GBK" w:cs="Times New Roman"/>
          <w:b w:val="0"/>
          <w:bCs w:val="0"/>
          <w:color w:val="000000"/>
          <w:sz w:val="32"/>
          <w:szCs w:val="32"/>
          <w:lang w:val="en-US" w:eastAsia="zh-CN"/>
        </w:rPr>
        <w:t>我单位项目支出调整至退役军人事务局本级支出。</w:t>
      </w:r>
    </w:p>
    <w:p>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bCs/>
          <w:sz w:val="32"/>
          <w:szCs w:val="32"/>
          <w:shd w:val="clear" w:color="auto" w:fill="FFFFFF"/>
          <w:lang w:val="en-US" w:eastAsia="zh-CN"/>
        </w:rPr>
        <w:t>1</w:t>
      </w:r>
      <w:r>
        <w:rPr>
          <w:rStyle w:val="10"/>
          <w:rFonts w:hint="default" w:ascii="Times New Roman" w:hAnsi="Times New Roman" w:eastAsia="方正仿宋_GBK" w:cs="Times New Roman"/>
          <w:b/>
          <w:bCs/>
          <w:sz w:val="32"/>
          <w:szCs w:val="32"/>
          <w:shd w:val="clear" w:color="auto" w:fill="FFFFFF"/>
        </w:rPr>
        <w:t>.收入情况。</w:t>
      </w:r>
      <w:r>
        <w:rPr>
          <w:rFonts w:hint="default" w:ascii="Times New Roman" w:hAnsi="Times New Roman" w:eastAsia="方正仿宋_GBK" w:cs="Times New Roman"/>
          <w:b w:val="0"/>
          <w:bCs w:val="0"/>
          <w:sz w:val="32"/>
          <w:szCs w:val="32"/>
          <w:shd w:val="clear" w:color="auto" w:fill="FFFFFF"/>
        </w:rPr>
        <w:t>2024年度收入合计113.17万元，与2023年度相比，减少11.42万元，下降9.2%，主要原因是</w:t>
      </w:r>
      <w:r>
        <w:rPr>
          <w:rFonts w:hint="default" w:ascii="Times New Roman" w:hAnsi="Times New Roman" w:eastAsia="方正仿宋_GBK" w:cs="Times New Roman"/>
          <w:b w:val="0"/>
          <w:bCs w:val="0"/>
          <w:color w:val="000000"/>
          <w:sz w:val="32"/>
          <w:szCs w:val="32"/>
          <w:lang w:val="en-US" w:eastAsia="zh-CN"/>
        </w:rPr>
        <w:t>我单位项目支出调整至退役军人事务局本级支出。</w:t>
      </w:r>
      <w:r>
        <w:rPr>
          <w:rFonts w:hint="default" w:ascii="Times New Roman" w:hAnsi="Times New Roman" w:eastAsia="方正仿宋_GBK" w:cs="Times New Roman"/>
          <w:b w:val="0"/>
          <w:bCs w:val="0"/>
          <w:sz w:val="32"/>
          <w:szCs w:val="32"/>
          <w:shd w:val="clear" w:color="auto" w:fill="FFFFFF"/>
        </w:rPr>
        <w:t>其中：财政拨款收入113.17万元，占100.0%；事业收入0.00万元，占0.0%；经营收入0.00万元，占0.0%；其他收入0.00万元，占0.0%。此外，使用非财政拨款结余（含专用结余）0.00万元，年初结转和结余0.00万元。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bCs/>
          <w:sz w:val="32"/>
          <w:szCs w:val="32"/>
          <w:shd w:val="clear" w:color="auto" w:fill="FFFFFF"/>
          <w:lang w:val="en-US" w:eastAsia="zh-CN"/>
        </w:rPr>
        <w:t>2.支出情况。</w:t>
      </w:r>
      <w:r>
        <w:rPr>
          <w:rFonts w:hint="default" w:ascii="Times New Roman" w:hAnsi="Times New Roman" w:eastAsia="方正仿宋_GBK" w:cs="Times New Roman"/>
          <w:b w:val="0"/>
          <w:bCs w:val="0"/>
          <w:sz w:val="32"/>
          <w:szCs w:val="32"/>
          <w:shd w:val="clear" w:color="auto" w:fill="FFFFFF"/>
        </w:rPr>
        <w:t>2024年度支出合计113.17万元，与2023年度相比，减少11.42万元，下降9.2%，主要原因是</w:t>
      </w:r>
      <w:r>
        <w:rPr>
          <w:rFonts w:hint="default" w:ascii="Times New Roman" w:hAnsi="Times New Roman" w:eastAsia="方正仿宋_GBK" w:cs="Times New Roman"/>
          <w:b w:val="0"/>
          <w:bCs w:val="0"/>
          <w:color w:val="000000"/>
          <w:sz w:val="32"/>
          <w:szCs w:val="32"/>
          <w:lang w:val="en-US" w:eastAsia="zh-CN"/>
        </w:rPr>
        <w:t>我单位项目支出调整至退役军人事务局本级支出。</w:t>
      </w:r>
      <w:r>
        <w:rPr>
          <w:rFonts w:hint="default" w:ascii="Times New Roman" w:hAnsi="Times New Roman" w:eastAsia="方正仿宋_GBK" w:cs="Times New Roman"/>
          <w:b w:val="0"/>
          <w:bCs w:val="0"/>
          <w:sz w:val="32"/>
          <w:szCs w:val="32"/>
          <w:shd w:val="clear" w:color="auto" w:fill="FFFFFF"/>
        </w:rPr>
        <w:t>其中：基本支出113.17万元，占100.0%；项目支出0.00万元，占0.0%；经营支出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万元，占0.0%。此外，结余分配0.00万元。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b w:val="0"/>
          <w:bCs w:val="0"/>
          <w:sz w:val="32"/>
          <w:szCs w:val="32"/>
          <w:lang w:eastAsia="zh-CN"/>
        </w:rPr>
      </w:pPr>
      <w:r>
        <w:rPr>
          <w:rStyle w:val="10"/>
          <w:rFonts w:hint="default" w:ascii="Times New Roman" w:hAnsi="Times New Roman" w:eastAsia="方正仿宋_GBK" w:cs="Times New Roman"/>
          <w:b/>
          <w:bCs/>
          <w:sz w:val="32"/>
          <w:szCs w:val="32"/>
          <w:shd w:val="clear" w:color="auto" w:fill="FFFFFF"/>
          <w:lang w:val="en-US" w:eastAsia="zh-CN"/>
        </w:rPr>
        <w:t>3.结转结余情况。</w:t>
      </w:r>
      <w:r>
        <w:rPr>
          <w:rFonts w:hint="default" w:ascii="Times New Roman" w:hAnsi="Times New Roman" w:eastAsia="方正仿宋_GBK" w:cs="Times New Roman"/>
          <w:b w:val="0"/>
          <w:bCs w:val="0"/>
          <w:sz w:val="32"/>
          <w:szCs w:val="32"/>
          <w:shd w:val="clear" w:color="auto" w:fill="FFFFFF"/>
        </w:rPr>
        <w:t>2024年度年末结转和结余0.00万元，与2023年度相比，无增减</w:t>
      </w:r>
      <w:r>
        <w:rPr>
          <w:rFonts w:hint="default" w:ascii="Times New Roman" w:hAnsi="Times New Roman" w:eastAsia="方正仿宋_GBK" w:cs="Times New Roman"/>
          <w:b w:val="0"/>
          <w:bCs w:val="0"/>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2024年度财政拨款收、支总计均为113.17万元。与2023年</w:t>
      </w:r>
      <w:r>
        <w:rPr>
          <w:rFonts w:hint="default" w:ascii="Times New Roman" w:hAnsi="Times New Roman" w:eastAsia="方正仿宋_GBK" w:cs="Times New Roman"/>
          <w:b w:val="0"/>
          <w:bCs w:val="0"/>
          <w:sz w:val="32"/>
          <w:szCs w:val="32"/>
          <w:shd w:val="clear" w:color="auto" w:fill="FFFFFF"/>
          <w:lang w:eastAsia="zh-CN"/>
        </w:rPr>
        <w:t>度</w:t>
      </w:r>
      <w:r>
        <w:rPr>
          <w:rFonts w:hint="default" w:ascii="Times New Roman" w:hAnsi="Times New Roman" w:eastAsia="方正仿宋_GBK" w:cs="Times New Roman"/>
          <w:b w:val="0"/>
          <w:bCs w:val="0"/>
          <w:sz w:val="32"/>
          <w:szCs w:val="32"/>
          <w:shd w:val="clear" w:color="auto" w:fill="FFFFFF"/>
        </w:rPr>
        <w:t>相比，财政拨款收、支总计各减少11.42万元，下降9.2%。主要原因是</w:t>
      </w:r>
      <w:r>
        <w:rPr>
          <w:rFonts w:hint="default" w:ascii="Times New Roman" w:hAnsi="Times New Roman" w:eastAsia="方正仿宋_GBK" w:cs="Times New Roman"/>
          <w:b w:val="0"/>
          <w:bCs w:val="0"/>
          <w:color w:val="000000"/>
          <w:sz w:val="32"/>
          <w:szCs w:val="32"/>
          <w:lang w:val="en-US" w:eastAsia="zh-CN"/>
        </w:rPr>
        <w:t>我单位项目支出调整至退役军人事务局本级支出。</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bCs/>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2024年度一般公共预算财政拨款收入113.17万元，与2023年度相比，减少11.42万元，下降9.2%。主要原因是</w:t>
      </w:r>
      <w:r>
        <w:rPr>
          <w:rFonts w:hint="default" w:ascii="Times New Roman" w:hAnsi="Times New Roman" w:eastAsia="方正仿宋_GBK" w:cs="Times New Roman"/>
          <w:b w:val="0"/>
          <w:bCs w:val="0"/>
          <w:color w:val="000000"/>
          <w:sz w:val="32"/>
          <w:szCs w:val="32"/>
          <w:lang w:val="en-US" w:eastAsia="zh-CN"/>
        </w:rPr>
        <w:t>我单位项目支出调整至退役军人事务局本级支出。</w:t>
      </w:r>
      <w:r>
        <w:rPr>
          <w:rFonts w:hint="default" w:ascii="Times New Roman" w:hAnsi="Times New Roman" w:eastAsia="方正仿宋_GBK" w:cs="Times New Roman"/>
          <w:b w:val="0"/>
          <w:bCs w:val="0"/>
          <w:sz w:val="32"/>
          <w:szCs w:val="32"/>
          <w:shd w:val="clear" w:color="auto" w:fill="FFFFFF"/>
        </w:rPr>
        <w:t>较年初预算数增加1.04万元，增长0.9%。主要原因是</w:t>
      </w:r>
      <w:r>
        <w:rPr>
          <w:rFonts w:hint="default" w:ascii="Times New Roman" w:hAnsi="Times New Roman" w:eastAsia="方正仿宋_GBK" w:cs="Times New Roman"/>
          <w:b w:val="0"/>
          <w:bCs w:val="0"/>
          <w:sz w:val="32"/>
          <w:szCs w:val="32"/>
          <w:shd w:val="clear" w:color="auto" w:fill="FFFFFF"/>
          <w:lang w:val="en-US" w:eastAsia="zh-CN"/>
        </w:rPr>
        <w:t>人员工资调整及社保缴费基数调整造成。</w:t>
      </w:r>
      <w:r>
        <w:rPr>
          <w:rFonts w:hint="default" w:ascii="Times New Roman" w:hAnsi="Times New Roman" w:eastAsia="方正仿宋_GBK" w:cs="Times New Roman"/>
          <w:b w:val="0"/>
          <w:bCs w:val="0"/>
          <w:sz w:val="32"/>
          <w:szCs w:val="32"/>
          <w:shd w:val="clear" w:color="auto" w:fill="FFFFFF"/>
        </w:rPr>
        <w:t>此外，年初财政拨款结转和结余0.00万元。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b w:val="0"/>
          <w:bCs w:val="0"/>
          <w:color w:val="FF0000"/>
          <w:sz w:val="32"/>
          <w:szCs w:val="32"/>
          <w:shd w:val="clear" w:color="auto" w:fill="FFFFFF"/>
          <w:lang w:val="en-US" w:eastAsia="zh-CN"/>
        </w:rPr>
      </w:pPr>
      <w:r>
        <w:rPr>
          <w:rStyle w:val="10"/>
          <w:rFonts w:hint="default" w:ascii="Times New Roman" w:hAnsi="Times New Roman" w:eastAsia="方正仿宋_GBK" w:cs="Times New Roman"/>
          <w:b/>
          <w:bCs/>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2024年度一般公共预算财政拨款支出113.17万元，与2023年度相比，减少11.42万元，下降9.2%。主要原因是</w:t>
      </w:r>
      <w:r>
        <w:rPr>
          <w:rFonts w:hint="default" w:ascii="Times New Roman" w:hAnsi="Times New Roman" w:eastAsia="方正仿宋_GBK" w:cs="Times New Roman"/>
          <w:b w:val="0"/>
          <w:bCs w:val="0"/>
          <w:color w:val="000000"/>
          <w:sz w:val="32"/>
          <w:szCs w:val="32"/>
          <w:lang w:val="en-US" w:eastAsia="zh-CN"/>
        </w:rPr>
        <w:t>我单位项目支出调整至退役军人事务局本级支出。</w:t>
      </w:r>
      <w:r>
        <w:rPr>
          <w:rFonts w:hint="default" w:ascii="Times New Roman" w:hAnsi="Times New Roman" w:eastAsia="方正仿宋_GBK" w:cs="Times New Roman"/>
          <w:b w:val="0"/>
          <w:bCs w:val="0"/>
          <w:sz w:val="32"/>
          <w:szCs w:val="32"/>
          <w:shd w:val="clear" w:color="auto" w:fill="FFFFFF"/>
        </w:rPr>
        <w:t>较年初预算数增加1.04万元，增长0.9%。主要原因是</w:t>
      </w:r>
      <w:r>
        <w:rPr>
          <w:rFonts w:hint="default" w:ascii="Times New Roman" w:hAnsi="Times New Roman" w:eastAsia="方正仿宋_GBK" w:cs="Times New Roman"/>
          <w:b w:val="0"/>
          <w:bCs w:val="0"/>
          <w:sz w:val="32"/>
          <w:szCs w:val="32"/>
          <w:shd w:val="clear" w:color="auto" w:fill="FFFFFF"/>
          <w:lang w:val="en-US" w:eastAsia="zh-CN"/>
        </w:rPr>
        <w:t>人员工资调整及社保缴费基数调整造成。</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一般公共预算财政拨款支出主要</w:t>
      </w:r>
      <w:r>
        <w:rPr>
          <w:rFonts w:hint="default" w:ascii="Times New Roman" w:hAnsi="Times New Roman" w:eastAsia="方正仿宋_GBK" w:cs="Times New Roman"/>
          <w:b w:val="0"/>
          <w:bCs w:val="0"/>
          <w:sz w:val="32"/>
          <w:szCs w:val="32"/>
          <w:highlight w:val="none"/>
          <w:shd w:val="clear" w:color="auto" w:fill="FFFFFF"/>
          <w:lang w:eastAsia="zh-CN"/>
        </w:rPr>
        <w:t>用途如下</w:t>
      </w:r>
      <w:r>
        <w:rPr>
          <w:rFonts w:hint="default" w:ascii="Times New Roman" w:hAnsi="Times New Roman" w:eastAsia="方正仿宋_GBK" w:cs="Times New Roman"/>
          <w:b w:val="0"/>
          <w:bCs w:val="0"/>
          <w:sz w:val="32"/>
          <w:szCs w:val="32"/>
          <w:highlight w:val="none"/>
          <w:shd w:val="clear" w:color="auto" w:fill="FFFFFF"/>
        </w:rPr>
        <w:t>：</w:t>
      </w:r>
    </w:p>
    <w:p>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社会保障</w:t>
      </w:r>
      <w:r>
        <w:rPr>
          <w:rFonts w:hint="default" w:ascii="Times New Roman" w:hAnsi="Times New Roman" w:eastAsia="方正仿宋_GBK" w:cs="Times New Roman"/>
          <w:b w:val="0"/>
          <w:bCs w:val="0"/>
          <w:sz w:val="32"/>
          <w:szCs w:val="32"/>
          <w:shd w:val="clear" w:color="auto" w:fill="FFFFFF"/>
          <w:lang w:eastAsia="zh-CN"/>
        </w:rPr>
        <w:t>和</w:t>
      </w:r>
      <w:r>
        <w:rPr>
          <w:rFonts w:hint="default" w:ascii="Times New Roman" w:hAnsi="Times New Roman" w:eastAsia="方正仿宋_GBK" w:cs="Times New Roman"/>
          <w:b w:val="0"/>
          <w:bCs w:val="0"/>
          <w:sz w:val="32"/>
          <w:szCs w:val="32"/>
          <w:shd w:val="clear" w:color="auto" w:fill="FFFFFF"/>
        </w:rPr>
        <w:t>就业支出97.55万元，占86.2%，较年初预算数增加1.07万元，增长1.1%，主要原因是</w:t>
      </w:r>
      <w:r>
        <w:rPr>
          <w:rFonts w:hint="default" w:ascii="Times New Roman" w:hAnsi="Times New Roman" w:eastAsia="方正仿宋_GBK" w:cs="Times New Roman"/>
          <w:b w:val="0"/>
          <w:bCs w:val="0"/>
          <w:sz w:val="32"/>
          <w:szCs w:val="32"/>
          <w:shd w:val="clear" w:color="auto" w:fill="FFFFFF"/>
          <w:lang w:val="en-US" w:eastAsia="zh-CN"/>
        </w:rPr>
        <w:t>人员工资调整及社保缴费基数调整造成。</w:t>
      </w:r>
    </w:p>
    <w:p>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卫生健康支出7.35万元，占6.5%，较年初预算数无增减，主要原因是</w:t>
      </w:r>
      <w:r>
        <w:rPr>
          <w:rFonts w:hint="default" w:ascii="Times New Roman" w:hAnsi="Times New Roman" w:eastAsia="方正仿宋_GBK" w:cs="Times New Roman"/>
          <w:b w:val="0"/>
          <w:bCs w:val="0"/>
          <w:sz w:val="32"/>
          <w:szCs w:val="32"/>
          <w:shd w:val="clear" w:color="auto" w:fill="FFFFFF"/>
          <w:lang w:val="en-US" w:eastAsia="zh-CN"/>
        </w:rPr>
        <w:t>社保缴费基数调整造成。</w:t>
      </w:r>
    </w:p>
    <w:p>
      <w:pPr>
        <w:keepNext w:val="0"/>
        <w:keepLines w:val="0"/>
        <w:pageBreakBefore w:val="0"/>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w:t>
      </w:r>
      <w:r>
        <w:rPr>
          <w:rFonts w:hint="default" w:ascii="Times New Roman" w:hAnsi="Times New Roman" w:eastAsia="方正仿宋_GBK" w:cs="Times New Roman"/>
          <w:b w:val="0"/>
          <w:bCs w:val="0"/>
          <w:sz w:val="32"/>
          <w:szCs w:val="32"/>
          <w:shd w:val="clear" w:color="auto" w:fill="FFFFFF"/>
        </w:rPr>
        <w:t>8.28万元，占7.3%，较年初预算数减少0.03万元，下降0.4%，主要原因是</w:t>
      </w:r>
      <w:r>
        <w:rPr>
          <w:rFonts w:hint="default" w:ascii="Times New Roman" w:hAnsi="Times New Roman" w:eastAsia="方正仿宋_GBK" w:cs="Times New Roman"/>
          <w:b w:val="0"/>
          <w:bCs w:val="0"/>
          <w:sz w:val="32"/>
          <w:szCs w:val="32"/>
          <w:shd w:val="clear" w:color="auto" w:fill="FFFFFF"/>
          <w:lang w:val="en-US" w:eastAsia="zh-CN"/>
        </w:rPr>
        <w:t>一名工作人员年中退休，不再缴纳住房公积金。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b w:val="0"/>
          <w:bCs w:val="0"/>
          <w:color w:val="FF0000"/>
          <w:sz w:val="32"/>
          <w:szCs w:val="32"/>
          <w:shd w:val="clear" w:color="auto" w:fill="FFFFFF"/>
          <w:lang w:eastAsia="zh-CN"/>
        </w:rPr>
      </w:pPr>
      <w:r>
        <w:rPr>
          <w:rStyle w:val="10"/>
          <w:rFonts w:hint="default" w:ascii="Times New Roman" w:hAnsi="Times New Roman" w:eastAsia="方正仿宋_GBK" w:cs="Times New Roman"/>
          <w:b/>
          <w:bCs/>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b w:val="0"/>
          <w:bCs w:val="0"/>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2024年度一般公共财政拨款基本支出113.17万元。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其中：人员经费100.89万元，与2023年度相比，增加9.48万元，增长10.4%，主要原因是</w:t>
      </w:r>
      <w:r>
        <w:rPr>
          <w:rFonts w:hint="default" w:ascii="Times New Roman" w:hAnsi="Times New Roman" w:eastAsia="方正仿宋_GBK" w:cs="Times New Roman"/>
          <w:b w:val="0"/>
          <w:bCs w:val="0"/>
          <w:sz w:val="32"/>
          <w:szCs w:val="32"/>
          <w:shd w:val="clear" w:color="auto" w:fill="FFFFFF"/>
          <w:lang w:val="en-US" w:eastAsia="zh-CN"/>
        </w:rPr>
        <w:t>人员工资调整及社保缴费基数调整。</w:t>
      </w:r>
      <w:r>
        <w:rPr>
          <w:rFonts w:hint="default" w:ascii="Times New Roman" w:hAnsi="Times New Roman" w:eastAsia="方正仿宋_GBK" w:cs="Times New Roman"/>
          <w:b w:val="0"/>
          <w:bCs w:val="0"/>
          <w:sz w:val="32"/>
          <w:szCs w:val="32"/>
          <w:shd w:val="clear" w:color="auto" w:fill="FFFFFF"/>
        </w:rPr>
        <w:t>人员经费用途主要包括</w:t>
      </w:r>
      <w:r>
        <w:rPr>
          <w:rFonts w:hint="default" w:ascii="Times New Roman" w:hAnsi="Times New Roman" w:eastAsia="方正仿宋_GBK" w:cs="Times New Roman"/>
          <w:b w:val="0"/>
          <w:bCs w:val="0"/>
          <w:sz w:val="32"/>
          <w:szCs w:val="32"/>
          <w:shd w:val="clear" w:color="auto" w:fill="FFFFFF"/>
          <w:lang w:eastAsia="zh-CN"/>
        </w:rPr>
        <w:t>工资福利支出、社会保险支出</w:t>
      </w:r>
      <w:r>
        <w:rPr>
          <w:rFonts w:hint="default" w:ascii="Times New Roman" w:hAnsi="Times New Roman" w:eastAsia="方正仿宋_GBK" w:cs="Times New Roman"/>
          <w:b w:val="0"/>
          <w:bCs w:val="0"/>
          <w:color w:val="auto"/>
          <w:sz w:val="32"/>
          <w:szCs w:val="32"/>
          <w:shd w:val="clear" w:color="auto" w:fill="FFFFFF"/>
          <w:lang w:eastAsia="zh-CN"/>
        </w:rPr>
        <w:t>等。</w:t>
      </w:r>
      <w:r>
        <w:rPr>
          <w:rFonts w:hint="default" w:ascii="Times New Roman" w:hAnsi="Times New Roman" w:eastAsia="方正仿宋_GBK" w:cs="Times New Roman"/>
          <w:b w:val="0"/>
          <w:bCs w:val="0"/>
          <w:sz w:val="32"/>
          <w:szCs w:val="32"/>
          <w:shd w:val="clear" w:color="auto" w:fill="FFFFFF"/>
        </w:rPr>
        <w:t>公用经费12.28万元，与2023年度相比，增加0.20万元，增长1.7%，主要原因是</w:t>
      </w:r>
      <w:r>
        <w:rPr>
          <w:rFonts w:hint="default" w:ascii="Times New Roman" w:hAnsi="Times New Roman" w:eastAsia="方正仿宋_GBK" w:cs="Times New Roman"/>
          <w:b w:val="0"/>
          <w:bCs w:val="0"/>
          <w:sz w:val="32"/>
          <w:szCs w:val="32"/>
          <w:shd w:val="clear" w:color="auto" w:fill="FFFFFF"/>
          <w:lang w:val="en-US" w:eastAsia="zh-CN"/>
        </w:rPr>
        <w:t>办公用品增加。</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b w:val="0"/>
          <w:bCs w:val="0"/>
          <w:color w:val="auto"/>
          <w:sz w:val="32"/>
          <w:szCs w:val="32"/>
          <w:shd w:val="clear" w:color="auto" w:fill="FFFFFF"/>
          <w:lang w:eastAsia="zh-CN"/>
        </w:rPr>
        <w:t>办公用水、办公用电、办公用品等支出。</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w:t>
      </w:r>
      <w:r>
        <w:rPr>
          <w:rFonts w:hint="default"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rPr>
        <w:t>2024年度无政府性基金预算财政拨款收支。</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本单位2024年度无国有资本经营预算财政拨款支出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三、</w:t>
      </w:r>
      <w:r>
        <w:rPr>
          <w:rStyle w:val="10"/>
          <w:rFonts w:hint="eastAsia" w:ascii="方正黑体_GBK" w:hAnsi="方正黑体_GBK" w:eastAsia="方正黑体_GBK" w:cs="方正黑体_GBK"/>
          <w:b w:val="0"/>
          <w:bCs w:val="0"/>
          <w:sz w:val="32"/>
          <w:szCs w:val="32"/>
          <w:shd w:val="clear" w:color="auto" w:fill="FFFFFF"/>
          <w:lang w:eastAsia="zh-CN"/>
        </w:rPr>
        <w:t>财政拨款</w:t>
      </w:r>
      <w:r>
        <w:rPr>
          <w:rStyle w:val="10"/>
          <w:rFonts w:hint="eastAsia" w:ascii="方正黑体_GBK" w:hAnsi="方正黑体_GBK" w:eastAsia="方正黑体_GBK" w:cs="方正黑体_GBK"/>
          <w:b w:val="0"/>
          <w:bCs w:val="0"/>
          <w:sz w:val="32"/>
          <w:szCs w:val="32"/>
          <w:shd w:val="clear" w:color="auto" w:fill="FFFFFF"/>
        </w:rPr>
        <w:t>“三公”经费情况说明</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我单位属于</w:t>
      </w:r>
      <w:r>
        <w:rPr>
          <w:rFonts w:hint="default" w:ascii="Times New Roman" w:hAnsi="Times New Roman" w:eastAsia="方正仿宋_GBK" w:cs="Times New Roman"/>
          <w:b w:val="0"/>
          <w:bCs w:val="0"/>
          <w:sz w:val="32"/>
          <w:szCs w:val="32"/>
          <w:shd w:val="clear" w:color="auto" w:fill="FFFFFF"/>
          <w:lang w:eastAsia="zh-CN"/>
        </w:rPr>
        <w:t>公益一类事业单位</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eastAsia="zh-CN"/>
        </w:rPr>
        <w:t>“三公”经费</w:t>
      </w:r>
      <w:r>
        <w:rPr>
          <w:rFonts w:hint="default" w:ascii="Times New Roman" w:hAnsi="Times New Roman" w:eastAsia="方正仿宋_GBK" w:cs="Times New Roman"/>
          <w:b w:val="0"/>
          <w:bCs w:val="0"/>
          <w:sz w:val="32"/>
          <w:szCs w:val="32"/>
          <w:shd w:val="clear" w:color="auto" w:fill="FFFFFF"/>
        </w:rPr>
        <w:t>财政</w:t>
      </w:r>
      <w:r>
        <w:rPr>
          <w:rFonts w:hint="default" w:ascii="Times New Roman" w:hAnsi="Times New Roman" w:eastAsia="方正仿宋_GBK" w:cs="Times New Roman"/>
          <w:b w:val="0"/>
          <w:bCs w:val="0"/>
          <w:sz w:val="32"/>
          <w:szCs w:val="32"/>
          <w:shd w:val="clear" w:color="auto" w:fill="FFFFFF"/>
          <w:lang w:eastAsia="zh-CN"/>
        </w:rPr>
        <w:t>在本级安排予以保障，下级未安排预算支出。</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2024年度本</w:t>
      </w:r>
      <w:r>
        <w:rPr>
          <w:rFonts w:hint="eastAsia"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rPr>
        <w:t>因公出国（境）费用0.00万元，费用支出较年初预算数无增减</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较上年支出数无增减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公务</w:t>
      </w:r>
      <w:r>
        <w:rPr>
          <w:rFonts w:hint="default" w:ascii="Times New Roman" w:hAnsi="Times New Roman" w:eastAsia="方正仿宋_GBK" w:cs="Times New Roman"/>
          <w:b w:val="0"/>
          <w:bCs w:val="0"/>
          <w:sz w:val="32"/>
          <w:szCs w:val="32"/>
          <w:shd w:val="clear" w:color="auto" w:fill="FFFFFF"/>
          <w:lang w:eastAsia="zh-CN"/>
        </w:rPr>
        <w:t>用</w:t>
      </w:r>
      <w:r>
        <w:rPr>
          <w:rFonts w:hint="default" w:ascii="Times New Roman" w:hAnsi="Times New Roman" w:eastAsia="方正仿宋_GBK" w:cs="Times New Roman"/>
          <w:b w:val="0"/>
          <w:bCs w:val="0"/>
          <w:sz w:val="32"/>
          <w:szCs w:val="32"/>
          <w:shd w:val="clear" w:color="auto" w:fill="FFFFFF"/>
        </w:rPr>
        <w:t>车购置费0.00万元，费用支出较年初预算数无增减，较上年支出数无增减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公务</w:t>
      </w:r>
      <w:r>
        <w:rPr>
          <w:rFonts w:hint="default" w:ascii="Times New Roman" w:hAnsi="Times New Roman" w:eastAsia="方正仿宋_GBK" w:cs="Times New Roman"/>
          <w:b w:val="0"/>
          <w:bCs w:val="0"/>
          <w:sz w:val="32"/>
          <w:szCs w:val="32"/>
          <w:shd w:val="clear" w:color="auto" w:fill="FFFFFF"/>
          <w:lang w:eastAsia="zh-CN"/>
        </w:rPr>
        <w:t>用</w:t>
      </w:r>
      <w:r>
        <w:rPr>
          <w:rFonts w:hint="default" w:ascii="Times New Roman" w:hAnsi="Times New Roman" w:eastAsia="方正仿宋_GBK" w:cs="Times New Roman"/>
          <w:b w:val="0"/>
          <w:bCs w:val="0"/>
          <w:sz w:val="32"/>
          <w:szCs w:val="32"/>
          <w:shd w:val="clear" w:color="auto" w:fill="FFFFFF"/>
        </w:rPr>
        <w:t>车运行维护费0.00万元，费用支出较年初预算数无增减，较上年支出数无增减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公务接待费0.00万元，费用支出较年初预算数无增减，较上年支出数无增减</w:t>
      </w:r>
      <w:r>
        <w:rPr>
          <w:rFonts w:hint="default" w:ascii="Times New Roman" w:hAnsi="Times New Roman" w:eastAsia="方正仿宋_GBK" w:cs="Times New Roman"/>
          <w:b w:val="0"/>
          <w:bCs w:val="0"/>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2024年度本</w:t>
      </w:r>
      <w:r>
        <w:rPr>
          <w:rFonts w:hint="eastAsia"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eastAsia"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rPr>
        <w:t>人均接待费0元，车均购置费0万元，车均维护费0万元。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本年度会议费支出0.00万元，与2023年度相比，无增减，本年度培训费支出0.00万元，与2023年度相比，减少0.31万元，下降100.0%，主要原因</w:t>
      </w:r>
      <w:r>
        <w:rPr>
          <w:rFonts w:hint="default" w:ascii="Times New Roman" w:hAnsi="Times New Roman" w:eastAsia="方正仿宋_GBK" w:cs="Times New Roman"/>
          <w:b w:val="0"/>
          <w:bCs w:val="0"/>
          <w:sz w:val="32"/>
          <w:szCs w:val="32"/>
          <w:shd w:val="clear" w:color="auto" w:fill="FFFFFF"/>
          <w:lang w:val="en-US" w:eastAsia="zh-CN"/>
        </w:rPr>
        <w:t>是本年未进行培训。</w:t>
      </w:r>
      <w:r>
        <w:rPr>
          <w:rFonts w:hint="default" w:ascii="Times New Roman" w:hAnsi="Times New Roman" w:eastAsia="方正仿宋_GBK" w:cs="Times New Roman"/>
          <w:b w:val="0"/>
          <w:bCs w:val="0"/>
          <w:sz w:val="32"/>
          <w:szCs w:val="32"/>
          <w:shd w:val="clear" w:color="auto" w:fill="FFFFFF"/>
        </w:rPr>
        <w:t>本年度差旅费支出0.59</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shd w:val="clear" w:color="auto" w:fill="FFFFFF"/>
        </w:rPr>
        <w:t>与2023年度相比，增加0.59万元，增长100.0%，主要原因是</w:t>
      </w:r>
      <w:r>
        <w:rPr>
          <w:rFonts w:hint="default" w:ascii="Times New Roman" w:hAnsi="Times New Roman" w:eastAsia="方正仿宋_GBK" w:cs="Times New Roman"/>
          <w:b w:val="0"/>
          <w:bCs w:val="0"/>
          <w:sz w:val="32"/>
          <w:szCs w:val="32"/>
          <w:shd w:val="clear" w:color="auto" w:fill="FFFFFF"/>
          <w:lang w:val="en-US" w:eastAsia="zh-CN"/>
        </w:rPr>
        <w:t>出差人员及出差次数较上年有所增加。</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2024年度本</w:t>
      </w:r>
      <w:r>
        <w:rPr>
          <w:rFonts w:hint="eastAsia"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rPr>
        <w:t>机关运行经费支出12.28万元，机关运行经费主要用于开支</w:t>
      </w:r>
      <w:r>
        <w:rPr>
          <w:rFonts w:hint="default" w:ascii="Times New Roman" w:hAnsi="Times New Roman" w:eastAsia="方正仿宋_GBK" w:cs="Times New Roman"/>
          <w:b w:val="0"/>
          <w:bCs w:val="0"/>
          <w:color w:val="auto"/>
          <w:sz w:val="32"/>
          <w:szCs w:val="32"/>
          <w:shd w:val="clear" w:color="auto" w:fill="FFFFFF"/>
          <w:lang w:eastAsia="zh-CN"/>
        </w:rPr>
        <w:t>办公用水、办公用电及办公用品。</w:t>
      </w:r>
      <w:r>
        <w:rPr>
          <w:rFonts w:hint="default" w:ascii="Times New Roman" w:hAnsi="Times New Roman" w:eastAsia="方正仿宋_GBK" w:cs="Times New Roman"/>
          <w:b w:val="0"/>
          <w:bCs w:val="0"/>
          <w:sz w:val="32"/>
          <w:szCs w:val="32"/>
          <w:shd w:val="clear" w:color="auto" w:fill="FFFFFF"/>
        </w:rPr>
        <w:t>机关运行经费较上年支出数增加0.20万元，增长1.7%，主要原因是</w:t>
      </w:r>
      <w:r>
        <w:rPr>
          <w:rFonts w:hint="default" w:ascii="Times New Roman" w:hAnsi="Times New Roman" w:eastAsia="方正仿宋_GBK" w:cs="Times New Roman"/>
          <w:b w:val="0"/>
          <w:bCs w:val="0"/>
          <w:color w:val="auto"/>
          <w:sz w:val="32"/>
          <w:szCs w:val="32"/>
          <w:shd w:val="clear" w:color="auto" w:fill="FFFFFF"/>
          <w:lang w:val="en-US" w:eastAsia="zh-CN"/>
        </w:rPr>
        <w:t>办公用品支出增加。</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截至2024年12月31日，本</w:t>
      </w:r>
      <w:r>
        <w:rPr>
          <w:rFonts w:hint="eastAsia"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因</w:t>
      </w:r>
      <w:r>
        <w:rPr>
          <w:rFonts w:hint="default" w:ascii="Times New Roman" w:hAnsi="Times New Roman" w:eastAsia="方正仿宋_GBK" w:cs="Times New Roman"/>
          <w:b w:val="0"/>
          <w:bCs w:val="0"/>
          <w:sz w:val="32"/>
          <w:szCs w:val="32"/>
          <w:shd w:val="clear" w:color="auto" w:fill="FFFFFF"/>
          <w:lang w:val="en-US" w:eastAsia="zh-CN"/>
        </w:rPr>
        <w:t>2022年度以前本单位未独立核算，均与部门合并编报决算报表</w:t>
      </w:r>
      <w:r>
        <w:rPr>
          <w:rFonts w:hint="default" w:ascii="Times New Roman" w:hAnsi="Times New Roman" w:eastAsia="方正仿宋_GBK" w:cs="Times New Roman"/>
          <w:b w:val="0"/>
          <w:bCs w:val="0"/>
          <w:sz w:val="32"/>
          <w:szCs w:val="32"/>
          <w:shd w:val="clear" w:color="auto" w:fill="FFFFFF"/>
        </w:rPr>
        <w:t>原因，我单位资产</w:t>
      </w:r>
      <w:r>
        <w:rPr>
          <w:rFonts w:hint="default" w:ascii="Times New Roman" w:hAnsi="Times New Roman" w:eastAsia="方正仿宋_GBK" w:cs="Times New Roman"/>
          <w:b w:val="0"/>
          <w:bCs w:val="0"/>
          <w:sz w:val="32"/>
          <w:szCs w:val="32"/>
          <w:shd w:val="clear" w:color="auto" w:fill="FFFFFF"/>
          <w:lang w:eastAsia="zh-CN"/>
        </w:rPr>
        <w:t>未独立核算，仍计入退役军人事务局本级资产核算，所以我单位</w:t>
      </w:r>
      <w:r>
        <w:rPr>
          <w:rFonts w:hint="default" w:ascii="Times New Roman" w:hAnsi="Times New Roman" w:eastAsia="方正仿宋_GBK" w:cs="Times New Roman"/>
          <w:b w:val="0"/>
          <w:bCs w:val="0"/>
          <w:sz w:val="32"/>
          <w:szCs w:val="32"/>
          <w:shd w:val="clear" w:color="auto" w:fill="FFFFFF"/>
          <w:lang w:val="en-US" w:eastAsia="zh-CN"/>
        </w:rPr>
        <w:t>2024年度决算报表中列示</w:t>
      </w:r>
      <w:r>
        <w:rPr>
          <w:rFonts w:hint="default" w:ascii="Times New Roman" w:hAnsi="Times New Roman" w:eastAsia="方正仿宋_GBK" w:cs="Times New Roman"/>
          <w:b w:val="0"/>
          <w:bCs w:val="0"/>
          <w:sz w:val="32"/>
          <w:szCs w:val="32"/>
          <w:shd w:val="clear" w:color="auto" w:fill="FFFFFF"/>
        </w:rPr>
        <w:t>未</w:t>
      </w:r>
      <w:r>
        <w:rPr>
          <w:rFonts w:hint="default" w:ascii="Times New Roman" w:hAnsi="Times New Roman" w:eastAsia="方正仿宋_GBK" w:cs="Times New Roman"/>
          <w:b w:val="0"/>
          <w:bCs w:val="0"/>
          <w:sz w:val="32"/>
          <w:szCs w:val="32"/>
          <w:shd w:val="clear" w:color="auto" w:fill="FFFFFF"/>
          <w:lang w:eastAsia="zh-CN"/>
        </w:rPr>
        <w:t>占有国有资产。</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left="638" w:leftChars="266" w:firstLine="0" w:firstLineChars="0"/>
        <w:jc w:val="left"/>
        <w:textAlignment w:val="auto"/>
        <w:rPr>
          <w:rStyle w:val="10"/>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eastAsia="zh-CN"/>
        </w:rPr>
        <w:t>2024年度我</w:t>
      </w:r>
      <w:r>
        <w:rPr>
          <w:rFonts w:hint="default"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lang w:eastAsia="zh-CN"/>
        </w:rPr>
        <w:t>未发生政府采购事项，无相关经费支出。</w:t>
      </w:r>
      <w:r>
        <w:rPr>
          <w:rStyle w:val="10"/>
          <w:rFonts w:hint="eastAsia" w:ascii="方正黑体_GBK" w:hAnsi="方正黑体_GBK" w:eastAsia="方正黑体_GBK" w:cs="方正黑体_GBK"/>
          <w:b w:val="0"/>
          <w:bCs w:val="0"/>
          <w:sz w:val="32"/>
          <w:szCs w:val="32"/>
          <w:shd w:val="clear" w:color="auto" w:fill="FFFFFF"/>
          <w:lang w:val="en-US" w:eastAsia="zh-CN" w:bidi="ar-SA"/>
        </w:rPr>
        <w:t>五、</w:t>
      </w:r>
      <w:r>
        <w:rPr>
          <w:rStyle w:val="10"/>
          <w:rFonts w:hint="default" w:ascii="Times New Roman" w:hAnsi="Times New Roman" w:eastAsia="方正黑体_GBK" w:cs="Times New Roman"/>
          <w:b w:val="0"/>
          <w:bCs w:val="0"/>
          <w:sz w:val="32"/>
          <w:szCs w:val="32"/>
          <w:shd w:val="clear" w:color="auto" w:fill="FFFFFF"/>
          <w:lang w:val="en-US" w:eastAsia="zh-CN" w:bidi="ar-SA"/>
        </w:rPr>
        <w:t>2024</w:t>
      </w:r>
      <w:r>
        <w:rPr>
          <w:rStyle w:val="10"/>
          <w:rFonts w:hint="eastAsia" w:ascii="方正黑体_GBK" w:hAnsi="方正黑体_GBK" w:eastAsia="方正黑体_GBK" w:cs="方正黑体_GBK"/>
          <w:b w:val="0"/>
          <w:bCs w:val="0"/>
          <w:sz w:val="32"/>
          <w:szCs w:val="32"/>
          <w:shd w:val="clear" w:color="auto" w:fill="FFFFFF"/>
          <w:lang w:val="en-US" w:eastAsia="zh-CN" w:bidi="ar-SA"/>
        </w:rPr>
        <w:t>年度预算绩效管理情况说明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pPr>
        <w:pStyle w:val="8"/>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我单位为退役军人事务局下设公益一类事业单位无涉及财政拨款项目设置，未开展预算绩效管理。</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w:t>
      </w:r>
      <w:r>
        <w:rPr>
          <w:rFonts w:hint="eastAsia" w:ascii="方正楷体_GBK" w:hAnsi="方正楷体_GBK" w:eastAsia="方正楷体_GBK" w:cs="方正楷体_GBK"/>
          <w:b w:val="0"/>
          <w:bCs w:val="0"/>
          <w:kern w:val="0"/>
          <w:sz w:val="32"/>
          <w:szCs w:val="32"/>
          <w:shd w:val="clear" w:fill="FFFFFF"/>
          <w:lang w:val="en-US" w:eastAsia="zh-CN"/>
        </w:rPr>
        <w:t>单位</w:t>
      </w:r>
      <w:r>
        <w:rPr>
          <w:rFonts w:hint="eastAsia" w:ascii="方正楷体_GBK" w:hAnsi="方正楷体_GBK" w:eastAsia="方正楷体_GBK" w:cs="方正楷体_GBK"/>
          <w:b w:val="0"/>
          <w:bCs w:val="0"/>
          <w:kern w:val="0"/>
          <w:sz w:val="32"/>
          <w:szCs w:val="32"/>
          <w:shd w:val="clear" w:fill="FFFFFF"/>
        </w:rPr>
        <w:t>绩效评价情况</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我单位未开展绩效管理。</w:t>
      </w:r>
    </w:p>
    <w:p>
      <w:pPr>
        <w:pStyle w:val="18"/>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bidi="ar"/>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bidi="ar-SA"/>
        </w:rPr>
        <w:t>县财政局未委托第三方对我单位开展绩效评价。</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lang w:eastAsia="zh-CN"/>
        </w:rPr>
        <w:t>六</w:t>
      </w:r>
      <w:r>
        <w:rPr>
          <w:rStyle w:val="10"/>
          <w:rFonts w:hint="eastAsia" w:ascii="方正黑体_GBK" w:hAnsi="方正黑体_GBK" w:eastAsia="方正黑体_GBK" w:cs="方正黑体_GBK"/>
          <w:b w:val="0"/>
          <w:bCs w:val="0"/>
          <w:sz w:val="32"/>
          <w:szCs w:val="32"/>
          <w:shd w:val="clear" w:color="auto" w:fill="FFFFFF"/>
        </w:rPr>
        <w:t>、专业名词解释</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（二）事业收入：</w:t>
      </w:r>
      <w:r>
        <w:rPr>
          <w:rFonts w:hint="default" w:ascii="Times New Roman" w:hAnsi="Times New Roman" w:eastAsia="方正仿宋_GBK" w:cs="Times New Roman"/>
          <w:b w:val="0"/>
          <w:bCs w:val="0"/>
          <w:sz w:val="32"/>
          <w:szCs w:val="32"/>
          <w:shd w:val="clear" w:color="auto" w:fill="FFFFFF"/>
        </w:rPr>
        <w:t>指事业单位开展专业业务活动及其辅助活动取得的</w:t>
      </w:r>
      <w:r>
        <w:rPr>
          <w:rFonts w:hint="default" w:ascii="Times New Roman" w:hAnsi="Times New Roman" w:eastAsia="方正仿宋_GBK" w:cs="Times New Roman"/>
          <w:b w:val="0"/>
          <w:bCs w:val="0"/>
          <w:sz w:val="32"/>
          <w:szCs w:val="32"/>
          <w:shd w:val="clear" w:color="auto" w:fill="FFFFFF"/>
          <w:lang w:eastAsia="zh-CN"/>
        </w:rPr>
        <w:t>收入</w:t>
      </w:r>
      <w:r>
        <w:rPr>
          <w:rFonts w:hint="default" w:ascii="Times New Roman" w:hAnsi="Times New Roman" w:eastAsia="方正仿宋_GBK" w:cs="Times New Roman"/>
          <w:b w:val="0"/>
          <w:bCs w:val="0"/>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（三）经营收入：</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b w:val="0"/>
          <w:bCs w:val="0"/>
          <w:sz w:val="32"/>
          <w:szCs w:val="32"/>
          <w:shd w:val="clear" w:color="auto" w:fill="FFFFFF"/>
          <w:lang w:eastAsia="zh-CN"/>
        </w:rPr>
        <w:t>收入</w:t>
      </w:r>
      <w:r>
        <w:rPr>
          <w:rFonts w:hint="default" w:ascii="Times New Roman" w:hAnsi="Times New Roman" w:eastAsia="方正仿宋_GBK" w:cs="Times New Roman"/>
          <w:b w:val="0"/>
          <w:bCs w:val="0"/>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（四）其他收入：</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（五）使用非财政拨款结余</w:t>
      </w:r>
      <w:r>
        <w:rPr>
          <w:rFonts w:hint="default" w:ascii="方正楷体_GBK" w:hAnsi="方正楷体_GBK" w:eastAsia="方正楷体_GBK" w:cs="方正楷体_GBK"/>
          <w:b w:val="0"/>
          <w:bCs w:val="0"/>
          <w:sz w:val="32"/>
          <w:szCs w:val="32"/>
          <w:shd w:val="clear" w:color="auto" w:fill="FFFFFF"/>
          <w:lang w:eastAsia="zh-CN"/>
        </w:rPr>
        <w:t>（含专用结余）</w:t>
      </w:r>
      <w:r>
        <w:rPr>
          <w:rFonts w:hint="default"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w:t>
      </w:r>
      <w:r>
        <w:rPr>
          <w:rFonts w:hint="default" w:ascii="Times New Roman" w:hAnsi="Times New Roman" w:eastAsia="方正仿宋_GBK" w:cs="Times New Roman"/>
          <w:b w:val="0"/>
          <w:bCs w:val="0"/>
          <w:sz w:val="32"/>
          <w:szCs w:val="32"/>
          <w:shd w:val="clear" w:color="auto" w:fill="FFFFFF"/>
          <w:lang w:eastAsia="zh-CN"/>
        </w:rPr>
        <w:t>事业单位按照预算管理要求使用非财政拨款结余弥补收支差额的金额，以及使用专用结余安排支出的金额。</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（六）年初结转和结余：</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（七）结余分配：</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（八）年末结转和结余：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（九）基本支出：</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（十）项目支出：</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（十一）经营支出：</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（十二）“三公”经费：</w:t>
      </w:r>
      <w:r>
        <w:rPr>
          <w:rFonts w:hint="default" w:ascii="Times New Roman" w:hAnsi="Times New Roman" w:eastAsia="方正仿宋_GBK" w:cs="Times New Roman"/>
          <w:b w:val="0"/>
          <w:bCs w:val="0"/>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（十三）机关运行经费：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（十四）工资福利支出（支出经济分类科目类级）：</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（十五）商品和服务支出（支出经济分类科目类级）：</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shd w:val="clear" w:color="auto" w:fill="FFFFFF"/>
        </w:rPr>
        <w:t>（十六）对个人和家庭的补助（支出经济分类科目类级）：</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（十七）其他资本性支出（支出经济分类科目类级）：</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lang w:eastAsia="zh-CN"/>
        </w:rPr>
        <w:t>七</w:t>
      </w:r>
      <w:r>
        <w:rPr>
          <w:rStyle w:val="10"/>
          <w:rFonts w:hint="eastAsia" w:ascii="方正黑体_GBK" w:hAnsi="方正黑体_GBK" w:eastAsia="方正黑体_GBK" w:cs="方正黑体_GBK"/>
          <w:b w:val="0"/>
          <w:bCs w:val="0"/>
          <w:sz w:val="32"/>
          <w:szCs w:val="32"/>
          <w:shd w:val="clear" w:color="auto" w:fill="FFFFFF"/>
        </w:rPr>
        <w:t>、决算公开联系方式及信息反馈渠道</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本</w:t>
      </w:r>
      <w:r>
        <w:rPr>
          <w:rFonts w:hint="eastAsia" w:ascii="Times New Roman" w:hAnsi="Times New Roman" w:eastAsia="方正仿宋_GBK" w:cs="Times New Roman"/>
          <w:b w:val="0"/>
          <w:bCs w:val="0"/>
          <w:sz w:val="32"/>
          <w:szCs w:val="32"/>
          <w:shd w:val="clear" w:color="auto" w:fill="FFFFFF"/>
          <w:lang w:val="en-US" w:eastAsia="zh-CN"/>
        </w:rPr>
        <w:t>单位</w:t>
      </w:r>
      <w:r>
        <w:rPr>
          <w:rFonts w:hint="default" w:ascii="Times New Roman" w:hAnsi="Times New Roman" w:eastAsia="方正仿宋_GBK" w:cs="Times New Roman"/>
          <w:b w:val="0"/>
          <w:bCs w:val="0"/>
          <w:sz w:val="32"/>
          <w:szCs w:val="32"/>
          <w:shd w:val="clear" w:color="auto" w:fill="FFFFFF"/>
        </w:rPr>
        <w:t>决算公开信息反馈和联系方式：</w:t>
      </w:r>
      <w:r>
        <w:rPr>
          <w:rFonts w:hint="default" w:ascii="Times New Roman" w:hAnsi="Times New Roman" w:eastAsia="方正仿宋_GBK" w:cs="Times New Roman"/>
          <w:b w:val="0"/>
          <w:bCs w:val="0"/>
          <w:sz w:val="32"/>
          <w:szCs w:val="32"/>
          <w:shd w:val="clear" w:color="auto" w:fill="FFFFFF"/>
          <w:lang w:val="en-US" w:eastAsia="zh-CN"/>
        </w:rPr>
        <w:t>023-76895079</w:t>
      </w:r>
    </w:p>
    <w:p>
      <w:pPr>
        <w:pStyle w:val="13"/>
        <w:autoSpaceDE w:val="0"/>
        <w:spacing w:line="596" w:lineRule="exact"/>
        <w:ind w:firstLine="640"/>
        <w:jc w:val="both"/>
        <w:rPr>
          <w:rFonts w:hint="default" w:ascii="Times New Roman" w:hAnsi="Times New Roman" w:eastAsia="方正仿宋_GBK" w:cs="Times New Roman"/>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秀山土家族苗族自治县军队转业干部服务中心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113.17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秀山土家族苗族自治县军队转业干部服务中心</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113.17</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113.17</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秀山土家族苗族自治县军队转业干部服务中心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113.17</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113.17</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97.55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秀山土家族苗族自治县军队转业干部服务中心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秀山土家族苗族自治县军队转业干部服务中心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113.17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97.55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97.55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秀山土家族苗族自治县军队转业干部服务中心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100.89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100.89</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12.28</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秀山土家族苗族自治县军队转业干部服务中心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秀山土家族苗族自治县军队转业干部服务中心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秀山土家族苗族自治县军队转业干部服务中心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12.28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62DACC"/>
    <w:multiLevelType w:val="singleLevel"/>
    <w:tmpl w:val="F662DA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EB62CB"/>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7F6307"/>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4B0974"/>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554A0"/>
    <w:rsid w:val="56FF7E9E"/>
    <w:rsid w:val="578867FC"/>
    <w:rsid w:val="5842572D"/>
    <w:rsid w:val="5A3B59D6"/>
    <w:rsid w:val="5AD134D8"/>
    <w:rsid w:val="5B6503B1"/>
    <w:rsid w:val="5B6C7447"/>
    <w:rsid w:val="5C0F7EC4"/>
    <w:rsid w:val="5C263CE4"/>
    <w:rsid w:val="5C5D2777"/>
    <w:rsid w:val="5CF66BF3"/>
    <w:rsid w:val="5D290C69"/>
    <w:rsid w:val="5E27D9B8"/>
    <w:rsid w:val="5F2D4A41"/>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 w:val="E0FED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11</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2025-06-27T07:40:00Z</dcterms:created>
  <dc:creator>Administrator</dc:creator>
  <cp:lastModifiedBy>国库科</cp:lastModifiedBy>
  <dcterms:modified xsi:type="dcterms:W3CDTF">2025-10-14T09:14:02Z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