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秀山土家族苗族自治县就业和人才中心（本级）</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一、</w:t>
      </w:r>
      <w:r>
        <w:rPr>
          <w:rStyle w:val="8"/>
          <w:rFonts w:hint="default" w:ascii="Times New Roman" w:hAnsi="Times New Roman" w:eastAsia="黑体" w:cs="Times New Roman"/>
          <w:b/>
          <w:bCs w:val="0"/>
          <w:sz w:val="32"/>
          <w:szCs w:val="32"/>
          <w:shd w:val="clear" w:color="auto" w:fill="FFFFFF"/>
          <w:lang w:eastAsia="zh-CN"/>
        </w:rPr>
        <w:t>单位</w:t>
      </w:r>
      <w:r>
        <w:rPr>
          <w:rStyle w:val="8"/>
          <w:rFonts w:hint="default" w:ascii="Times New Roman" w:hAnsi="Times New Roman" w:eastAsia="黑体" w:cs="Times New Roman"/>
          <w:b/>
          <w:bCs w:val="0"/>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（1）贯彻执行国家和上级劳动就业创业有关方针、政策和失业保险法律法规，研究拟定我县促进就业和发展劳务经济的政策措施，制定长远规划和年度计划并组织实施。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（2）组织实施全县城乡就业工作，负责城乡就业工作目标管理及考核，提供公益性就业创业服务，对就业困难群体和重点群体提供就业服务。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（3）统一管理城乡劳动力资源，组织实施劳务品牌和劳动力输出基地建设。负责指导乡镇（街道）劳务产业工作。负责劳务派出机构管理工作。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（4）按规定使用就业专项资金和失业保险基金，承担失业保险政策宣传及参保登记、管理和待遇发放及有关经办服务工作，拟定并组织实施失业保险扩面计划。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5）拟定人力资源市场发展规划，建立人力资源市场运行机制。负责县、乡镇（街道）、村（社区）三级就业服务体系建设。指导基层公共就业服务工作平台、人力资源基础台账建设工作。建设人力资源市场，为用人单位、求职者提供招聘、求职等服务；加强信息化建设，开展城乡就业统计及人力资源市场供求信息监测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（6）拟定全县就业创业培训工作发展规划和年度计划；负责牵头组织各类就业培训和管理；统一管理劳动力培训资金；承担职业能力建设相关业务经办工作。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（7）承担各类群体创业指导和咨询等服务工作。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（8）负责拟定人才项目的计划及实施；开展流动人员人事档案、人事代理、身份认定工作；负责企业、企业化管理事业单位人员的年度统计、培训、日常管理和服务工作。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（9）承担全县就业培训、创业指导、失业保险、农村劳动力转移、劳服企业经营情况等统计数据的汇总、分析和统计工作。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（10）承办上级部门交办的其他事项。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机构改革后，因职能职责调整，我单位现有内设机构9个，分别是：综合科、</w:t>
      </w:r>
      <w:r>
        <w:rPr>
          <w:rFonts w:hint="default" w:ascii="Times New Roman" w:hAnsi="Times New Roman" w:eastAsia="方正仿宋_GBK" w:cs="Times New Roman"/>
          <w:b w:val="0"/>
          <w:bCs w:val="0"/>
          <w:color w:val="auto"/>
          <w:sz w:val="32"/>
          <w:szCs w:val="32"/>
          <w:lang w:val="en-US" w:eastAsia="zh-CN"/>
        </w:rPr>
        <w:t>重点群体就业科</w:t>
      </w:r>
      <w:r>
        <w:rPr>
          <w:rFonts w:hint="default" w:ascii="Times New Roman" w:hAnsi="Times New Roman" w:eastAsia="方正仿宋_GBK" w:cs="Times New Roman"/>
          <w:sz w:val="32"/>
          <w:szCs w:val="32"/>
        </w:rPr>
        <w:t>、失业保险科、创业指导科、劳务开发科、职业培训科、</w:t>
      </w:r>
      <w:r>
        <w:rPr>
          <w:rFonts w:hint="default" w:ascii="Times New Roman" w:hAnsi="Times New Roman" w:eastAsia="方正仿宋_GBK" w:cs="Times New Roman"/>
          <w:b w:val="0"/>
          <w:bCs w:val="0"/>
          <w:color w:val="auto"/>
          <w:sz w:val="32"/>
          <w:szCs w:val="32"/>
          <w:lang w:val="en-US" w:eastAsia="zh-CN"/>
        </w:rPr>
        <w:t>就业援助科</w:t>
      </w:r>
      <w:r>
        <w:rPr>
          <w:rFonts w:hint="default" w:ascii="Times New Roman" w:hAnsi="Times New Roman" w:eastAsia="方正仿宋_GBK" w:cs="Times New Roman"/>
          <w:sz w:val="32"/>
          <w:szCs w:val="32"/>
        </w:rPr>
        <w:t>、档案管理科、</w:t>
      </w:r>
      <w:r>
        <w:rPr>
          <w:rFonts w:hint="default" w:ascii="Times New Roman" w:hAnsi="Times New Roman" w:eastAsia="方正仿宋_GBK" w:cs="Times New Roman"/>
          <w:b w:val="0"/>
          <w:bCs w:val="0"/>
          <w:color w:val="auto"/>
          <w:sz w:val="32"/>
          <w:szCs w:val="32"/>
          <w:lang w:val="en-US" w:eastAsia="zh-CN"/>
        </w:rPr>
        <w:t>公共信息科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二、</w:t>
      </w:r>
      <w:r>
        <w:rPr>
          <w:rStyle w:val="8"/>
          <w:rFonts w:hint="default" w:ascii="Times New Roman" w:hAnsi="Times New Roman" w:eastAsia="黑体" w:cs="Times New Roman"/>
          <w:b/>
          <w:bCs w:val="0"/>
          <w:sz w:val="32"/>
          <w:szCs w:val="32"/>
          <w:shd w:val="clear" w:color="auto" w:fill="FFFFFF"/>
          <w:lang w:eastAsia="zh-CN"/>
        </w:rPr>
        <w:t>单位</w:t>
      </w:r>
      <w:r>
        <w:rPr>
          <w:rStyle w:val="8"/>
          <w:rFonts w:hint="default" w:ascii="Times New Roman" w:hAnsi="Times New Roman" w:eastAsia="黑体" w:cs="Times New Roman"/>
          <w:b/>
          <w:bCs w:val="0"/>
          <w:sz w:val="32"/>
          <w:szCs w:val="32"/>
          <w:shd w:val="clear" w:color="auto" w:fill="FFFFFF"/>
        </w:rPr>
        <w:t>决算</w:t>
      </w:r>
      <w:r>
        <w:rPr>
          <w:rStyle w:val="8"/>
          <w:rFonts w:hint="default" w:ascii="Times New Roman" w:hAnsi="Times New Roman" w:eastAsia="黑体" w:cs="Times New Roman"/>
          <w:b/>
          <w:bCs w:val="0"/>
          <w:sz w:val="32"/>
          <w:szCs w:val="32"/>
          <w:shd w:val="clear" w:color="auto" w:fill="FFFFFF"/>
          <w:lang w:eastAsia="zh-CN"/>
        </w:rPr>
        <w:t>收支</w:t>
      </w:r>
      <w:r>
        <w:rPr>
          <w:rStyle w:val="8"/>
          <w:rFonts w:hint="default" w:ascii="Times New Roman" w:hAnsi="Times New Roman" w:eastAsia="黑体" w:cs="Times New Roman"/>
          <w:b/>
          <w:bCs w:val="0"/>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b w:val="0"/>
          <w:kern w:val="0"/>
          <w:sz w:val="32"/>
          <w:szCs w:val="32"/>
          <w:shd w:val="clear" w:color="auto" w:fill="FFFFFF"/>
          <w:lang w:val="en-US" w:eastAsia="zh-CN" w:bidi="ar"/>
        </w:rPr>
        <w:t>6218.71</w:t>
      </w:r>
      <w:r>
        <w:rPr>
          <w:rFonts w:hint="default" w:ascii="Times New Roman" w:hAnsi="Times New Roman" w:eastAsia="方正仿宋_GBK" w:cs="Times New Roman"/>
          <w:sz w:val="32"/>
          <w:szCs w:val="32"/>
          <w:shd w:val="clear" w:color="auto" w:fill="FFFFFF"/>
        </w:rPr>
        <w:t>万元。收、支与2023年度相比，增加224.69万元，增长3.</w:t>
      </w:r>
      <w:r>
        <w:rPr>
          <w:rFonts w:hint="default" w:ascii="Times New Roman" w:hAnsi="Times New Roman" w:eastAsia="方正仿宋_GBK" w:cs="Times New Roman"/>
          <w:color w:val="auto"/>
          <w:sz w:val="32"/>
          <w:szCs w:val="32"/>
          <w:shd w:val="clear" w:color="auto" w:fill="FFFFFF"/>
        </w:rPr>
        <w:t>8%，主要原因是本年度就业专项资金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2024年度收入合计6204.72万元，与2023年度相比，增加275.10万元，增长4.6%，主要原因是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其中：财政拨款收入6204.72万元，占100.0%；事业收入0.00万元，占0.0%；经营收入0.00万元，占0.0%；其他收入0.00万元，占0.0%。此外，使用非财政拨款结余（含专用结余）0.00万元，年初结转和结余13.99万元。</w:t>
      </w:r>
    </w:p>
    <w:p>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2024年度支出合计6212.32万元，与2023年度相比，增加232.29万元，增长3.9%，主要原因是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其中</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基本支出619.66万元，占10.0%；项目支出5592.66万元，占90.0%；经营支出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2024年度年末结转和结余6.40万元，与2023年度相比，减少7.59万元，下降54.3%，主要原因是</w:t>
      </w:r>
      <w:r>
        <w:rPr>
          <w:rFonts w:hint="default" w:ascii="Times New Roman" w:hAnsi="Times New Roman" w:eastAsia="方正仿宋_GBK" w:cs="Times New Roman"/>
          <w:sz w:val="32"/>
          <w:szCs w:val="32"/>
          <w:shd w:val="clear" w:color="auto" w:fill="FFFFFF"/>
          <w:lang w:eastAsia="zh-CN"/>
        </w:rPr>
        <w:t>本年度监测经费未作收入。</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2024年度财政拨款收、支总计均为6204.72万元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相比，财政拨款收、支总计各增加262.56万元，增长4.4%。主要原因是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2024年度一般公共预算财政拨款收入6204.72万元，与2023年度相比，增加295.34万元，增长5.0%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较年初预算数增加2198.16万元，增长54.9%</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就业专项资金。此外，年初财政拨款结转和结余0.00万元。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2024年度一般公共预算财政拨款支出6204.72万元，与2023年度相比，增加262.56万元，增长4.4%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本年度就业专项资金</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较年初预算数增加2198.16万元，增长54.9%</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（1）一般公共服务支出0.45万元，占0.0%，较年初预算数增加0.45万元，增长100.0%，主要原因是</w:t>
      </w:r>
      <w:r>
        <w:rPr>
          <w:rFonts w:hint="default" w:ascii="Times New Roman" w:hAnsi="Times New Roman" w:eastAsia="方正仿宋_GBK" w:cs="Times New Roman"/>
          <w:color w:val="auto"/>
          <w:sz w:val="32"/>
          <w:szCs w:val="32"/>
          <w:shd w:val="clear" w:color="auto" w:fill="FFFFFF"/>
          <w:lang w:eastAsia="zh-CN"/>
        </w:rPr>
        <w:t>优秀公务员奖励计入该支出功能分类。</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就业支出5219.41万元，占84.1%，较年初预算数增加1705.50万元，增长48.5%，主要原因是本年度</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就业专项资金。</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）卫生健康支出34.37万元，占0.6%，较年初预算数增加0.24万元，增长0.7%，主要原因是</w:t>
      </w:r>
      <w:r>
        <w:rPr>
          <w:rFonts w:hint="default" w:ascii="Times New Roman" w:hAnsi="Times New Roman" w:eastAsia="方正仿宋_GBK" w:cs="Times New Roman"/>
          <w:color w:val="auto"/>
          <w:sz w:val="32"/>
          <w:szCs w:val="32"/>
          <w:shd w:val="clear" w:color="auto" w:fill="FFFFFF"/>
          <w:lang w:eastAsia="zh-CN"/>
        </w:rPr>
        <w:t>新招录一名参公人员。</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）农林水支出910.89万元，占14.7%，较年初预算数增加491.05万元，增长117.0%，主要原因</w:t>
      </w:r>
      <w:r>
        <w:rPr>
          <w:rFonts w:hint="default" w:ascii="Times New Roman" w:hAnsi="Times New Roman" w:eastAsia="方正仿宋_GBK" w:cs="Times New Roman"/>
          <w:color w:val="auto"/>
          <w:sz w:val="32"/>
          <w:szCs w:val="32"/>
          <w:shd w:val="clear" w:color="auto" w:fill="FFFFFF"/>
          <w:lang w:eastAsia="zh-CN"/>
        </w:rPr>
        <w:t>一</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本年度追加跨区域交通补助，二是年初时德州、合川帮扶资金还未下达。</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39.60万元，占0.6%，较年初预算数增加0.91万元，增长2.4%，主要原因是</w:t>
      </w:r>
      <w:r>
        <w:rPr>
          <w:rFonts w:hint="default" w:ascii="Times New Roman" w:hAnsi="Times New Roman" w:eastAsia="方正仿宋_GBK" w:cs="Times New Roman"/>
          <w:color w:val="auto"/>
          <w:sz w:val="32"/>
          <w:szCs w:val="32"/>
          <w:shd w:val="clear" w:color="auto" w:fill="FFFFFF"/>
          <w:lang w:eastAsia="zh-CN"/>
        </w:rPr>
        <w:t>新招录一名参公人员。</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2024年度一般公共财政拨款基本支出619.60万元。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rPr>
        <w:t>人员经费525.97万元，与2023年度相比，增加6.26万元，增长1.2%，主要原因是</w:t>
      </w:r>
      <w:r>
        <w:rPr>
          <w:rFonts w:hint="default" w:ascii="Times New Roman" w:hAnsi="Times New Roman" w:eastAsia="方正仿宋_GBK" w:cs="Times New Roman"/>
          <w:color w:val="auto"/>
          <w:sz w:val="32"/>
          <w:szCs w:val="32"/>
          <w:shd w:val="clear" w:color="auto" w:fill="FFFFFF"/>
          <w:lang w:eastAsia="zh-CN"/>
        </w:rPr>
        <w:t>新招录一名参公人员。</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 w:val="0"/>
          <w:kern w:val="0"/>
          <w:sz w:val="32"/>
          <w:szCs w:val="32"/>
          <w:shd w:val="clear" w:color="auto" w:fill="FFFFFF"/>
          <w:lang w:val="en-US" w:eastAsia="zh-CN" w:bidi="ar"/>
        </w:rPr>
        <w:t>基本工资、津贴补贴、奖金、机关事业单位基本养老保险费、职业年金缴费、职工基本医疗保险缴费、其他社会保障缴费、住房公积金、医疗费、其他工资福利支出、生活补助、医疗费等。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公用经费93.63万元，与2023年度相比，增加20.24万元，增长27.6%，主要原因是</w:t>
      </w:r>
      <w:r>
        <w:rPr>
          <w:rFonts w:hint="default" w:ascii="Times New Roman" w:hAnsi="Times New Roman" w:eastAsia="方正仿宋_GBK" w:cs="Times New Roman"/>
          <w:sz w:val="32"/>
          <w:szCs w:val="32"/>
          <w:shd w:val="clear" w:color="auto" w:fill="FFFFFF"/>
          <w:lang w:eastAsia="zh-CN"/>
        </w:rPr>
        <w:t>新增事业发展经费、事业服务经费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kern w:val="0"/>
          <w:sz w:val="32"/>
          <w:szCs w:val="32"/>
          <w:shd w:val="clear" w:color="auto" w:fill="FFFFFF"/>
          <w:lang w:val="en-US" w:eastAsia="zh-CN" w:bidi="ar"/>
        </w:rPr>
        <w:t>办公费、水费、电费、邮电费、物业管理费、差旅费、因公出国（境）费用、会议费、培训费、公务接待费、工会经费、其他交通费用、其他商品和服务支出、办公设备购置等。</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本单位2024年度无政府性基金预算财政拨款收支。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kern w:val="0"/>
          <w:sz w:val="32"/>
          <w:szCs w:val="32"/>
          <w:shd w:val="clear" w:color="auto" w:fill="FFFFFF"/>
          <w:lang w:val="en-US" w:eastAsia="zh-CN" w:bidi="ar"/>
        </w:rPr>
      </w:pPr>
      <w:r>
        <w:rPr>
          <w:rFonts w:hint="default" w:ascii="Times New Roman" w:hAnsi="Times New Roman" w:eastAsia="方正仿宋_GBK" w:cs="Times New Roman"/>
          <w:b w:val="0"/>
          <w:kern w:val="0"/>
          <w:sz w:val="32"/>
          <w:szCs w:val="32"/>
          <w:shd w:val="clear" w:color="auto" w:fill="FFFFFF"/>
          <w:lang w:val="en-US" w:eastAsia="zh-CN" w:bidi="ar"/>
        </w:rPr>
        <w:t>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三、</w:t>
      </w:r>
      <w:r>
        <w:rPr>
          <w:rStyle w:val="8"/>
          <w:rFonts w:hint="default" w:ascii="Times New Roman" w:hAnsi="Times New Roman" w:eastAsia="黑体" w:cs="Times New Roman"/>
          <w:b/>
          <w:bCs w:val="0"/>
          <w:sz w:val="32"/>
          <w:szCs w:val="32"/>
          <w:shd w:val="clear" w:color="auto" w:fill="FFFFFF"/>
          <w:lang w:eastAsia="zh-CN"/>
        </w:rPr>
        <w:t>财政拨款</w:t>
      </w:r>
      <w:r>
        <w:rPr>
          <w:rStyle w:val="8"/>
          <w:rFonts w:hint="default" w:ascii="Times New Roman" w:hAnsi="Times New Roman" w:eastAsia="黑体" w:cs="Times New Roman"/>
          <w:b/>
          <w:bCs w:val="0"/>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4.09万元，较年初预算数减少6.91万元，下降62.8%，较上年支出数减少0.41万元，下降9.1%，主要原因是一是认真贯彻落实中央八项规定精神，从严控制“三公”经费。二是强化公务接待支出管理，严格遵守公务接待开支范围和开支标准，严格控制陪餐人数。三是进一步规范因公出国（境）活动，今年未安排人员出国出访。</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因公出国（境）费用0.00万元，支出较年初预算数无增减，较上年支出数无增减，主要原因是</w:t>
      </w:r>
      <w:r>
        <w:rPr>
          <w:rFonts w:hint="default" w:ascii="Times New Roman" w:hAnsi="Times New Roman" w:eastAsia="方正仿宋_GBK" w:cs="Times New Roman"/>
          <w:b w:val="0"/>
          <w:kern w:val="0"/>
          <w:sz w:val="32"/>
          <w:szCs w:val="32"/>
          <w:shd w:val="clear" w:color="auto" w:fill="FFFFFF"/>
          <w:lang w:val="en-US" w:eastAsia="zh-CN" w:bidi="ar"/>
        </w:rPr>
        <w:t>本年度未安排人员出国出访。</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车购置费0.00万元，主要用于</w:t>
      </w:r>
      <w:r>
        <w:rPr>
          <w:rFonts w:hint="default" w:ascii="Times New Roman" w:hAnsi="Times New Roman" w:eastAsia="方正仿宋_GBK" w:cs="Times New Roman"/>
          <w:b w:val="0"/>
          <w:color w:val="auto"/>
          <w:kern w:val="0"/>
          <w:sz w:val="32"/>
          <w:szCs w:val="32"/>
          <w:shd w:val="clear" w:color="auto" w:fill="FFFFFF"/>
          <w:lang w:val="en-US" w:eastAsia="zh-CN" w:bidi="ar"/>
        </w:rPr>
        <w:t>购置单位公务用车及相关支出。</w:t>
      </w:r>
      <w:r>
        <w:rPr>
          <w:rFonts w:hint="default" w:ascii="Times New Roman" w:hAnsi="Times New Roman" w:eastAsia="方正仿宋_GBK" w:cs="Times New Roman"/>
          <w:sz w:val="32"/>
          <w:szCs w:val="32"/>
          <w:shd w:val="clear" w:color="auto" w:fill="FFFFFF"/>
        </w:rPr>
        <w:t>费用支出较年初预算数无增减，较上年支出数无增减，主要原因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本年度未产生相关支出。</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车运行维护费3.63万元，主要用于</w:t>
      </w:r>
      <w:r>
        <w:rPr>
          <w:rFonts w:hint="default" w:ascii="Times New Roman" w:hAnsi="Times New Roman" w:eastAsia="方正仿宋_GBK" w:cs="Times New Roman"/>
          <w:b w:val="0"/>
          <w:color w:val="auto"/>
          <w:kern w:val="0"/>
          <w:sz w:val="32"/>
          <w:szCs w:val="32"/>
          <w:shd w:val="clear" w:color="auto" w:fill="FFFFFF"/>
          <w:lang w:val="en-US" w:eastAsia="zh-CN" w:bidi="ar"/>
        </w:rPr>
        <w:t>单位公务用车运行维护。</w:t>
      </w:r>
      <w:r>
        <w:rPr>
          <w:rFonts w:hint="default" w:ascii="Times New Roman" w:hAnsi="Times New Roman" w:eastAsia="方正仿宋_GBK" w:cs="Times New Roman"/>
          <w:color w:val="auto"/>
          <w:sz w:val="32"/>
          <w:szCs w:val="32"/>
          <w:shd w:val="clear" w:color="auto" w:fill="FFFFFF"/>
        </w:rPr>
        <w:t>费用支出较年初预算数减少0.87万元，下降19.3%，主要原因是</w:t>
      </w:r>
      <w:r>
        <w:rPr>
          <w:rFonts w:hint="default" w:ascii="Times New Roman" w:hAnsi="Times New Roman" w:eastAsia="方正仿宋_GBK" w:cs="Times New Roman"/>
          <w:b w:val="0"/>
          <w:color w:val="auto"/>
          <w:kern w:val="0"/>
          <w:sz w:val="32"/>
          <w:szCs w:val="32"/>
          <w:shd w:val="clear" w:color="auto" w:fill="FFFFFF"/>
          <w:lang w:val="en-US" w:eastAsia="zh-CN" w:bidi="ar"/>
        </w:rPr>
        <w:t>强化公务用车管理</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较上年支出数增加0.47万元，增长14.9%，主要原因是</w:t>
      </w:r>
      <w:r>
        <w:rPr>
          <w:rFonts w:hint="default" w:ascii="Times New Roman" w:hAnsi="Times New Roman" w:eastAsia="方正仿宋_GBK" w:cs="Times New Roman"/>
          <w:color w:val="auto"/>
          <w:sz w:val="32"/>
          <w:szCs w:val="32"/>
          <w:shd w:val="clear" w:color="auto" w:fill="FFFFFF"/>
          <w:lang w:eastAsia="zh-CN"/>
        </w:rPr>
        <w:t>公务用车使用增加。</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公务接待费0.47万元，主要用于接待</w:t>
      </w:r>
      <w:r>
        <w:rPr>
          <w:rFonts w:hint="default" w:ascii="Times New Roman" w:hAnsi="Times New Roman" w:eastAsia="方正仿宋_GBK" w:cs="Times New Roman"/>
          <w:b w:val="0"/>
          <w:kern w:val="0"/>
          <w:sz w:val="32"/>
          <w:szCs w:val="32"/>
          <w:shd w:val="clear" w:color="auto" w:fill="FFFFFF"/>
          <w:lang w:val="en-US" w:eastAsia="zh-CN" w:bidi="ar"/>
        </w:rPr>
        <w:t>国内其他省县部门到</w:t>
      </w:r>
      <w:r>
        <w:rPr>
          <w:rFonts w:hint="default" w:ascii="Times New Roman" w:hAnsi="Times New Roman" w:eastAsia="方正仿宋_GBK" w:cs="Times New Roman"/>
          <w:sz w:val="32"/>
          <w:szCs w:val="32"/>
          <w:shd w:val="clear" w:color="auto" w:fill="FFFFFF"/>
          <w:lang w:val="zh-CN" w:eastAsia="zh-CN" w:bidi="ar-SA"/>
        </w:rPr>
        <w:t>本单位</w:t>
      </w:r>
      <w:r>
        <w:rPr>
          <w:rFonts w:hint="default" w:ascii="Times New Roman" w:hAnsi="Times New Roman" w:eastAsia="方正仿宋_GBK" w:cs="Times New Roman"/>
          <w:b w:val="0"/>
          <w:kern w:val="0"/>
          <w:sz w:val="32"/>
          <w:szCs w:val="32"/>
          <w:shd w:val="clear" w:color="auto" w:fill="FFFFFF"/>
          <w:lang w:val="en-US" w:eastAsia="zh-CN" w:bidi="ar"/>
        </w:rPr>
        <w:t>考察调研，接受相关部门检查指导工作发生的接待支出。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费用支出较年初预算数减少6.03万元，下降92.8%，较上年支出数减少0.86万元，下降64.7%，主要原因是</w:t>
      </w:r>
      <w:r>
        <w:rPr>
          <w:rFonts w:hint="default" w:ascii="Times New Roman" w:hAnsi="Times New Roman" w:eastAsia="方正仿宋_GBK" w:cs="Times New Roman"/>
          <w:b w:val="0"/>
          <w:kern w:val="0"/>
          <w:sz w:val="32"/>
          <w:szCs w:val="32"/>
          <w:shd w:val="clear" w:color="auto" w:fill="FFFFFF"/>
          <w:lang w:val="en-US" w:eastAsia="zh-CN" w:bidi="ar"/>
        </w:rPr>
        <w:t>强化公务接待支出管理，严格遵守公务接待开支范围和开支标准，严格控制陪餐人数。</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因公出国（境）共计0个团组，0人；公务用车购置0辆，公务车保有量为1辆；国内公务接待4批次44人，其中：国内外事接待0批次，0人；国（境）外公务接待0批次，0人。2024年本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人均接待费105.95元，车均购置费0万元，车均维护费3.63万元。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r>
        <w:rPr>
          <w:rStyle w:val="8"/>
          <w:rFonts w:hint="default" w:ascii="Times New Roman" w:hAnsi="Times New Roman" w:eastAsia="黑体" w:cs="Times New Roman"/>
          <w:b/>
          <w:bCs w:val="0"/>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本年度会议费支出0.00万元，与2023年度相比，减少0.15万元，下降100.0%，主要</w:t>
      </w:r>
      <w:r>
        <w:rPr>
          <w:rFonts w:hint="default" w:ascii="Times New Roman" w:hAnsi="Times New Roman" w:eastAsia="方正仿宋_GBK" w:cs="Times New Roman"/>
          <w:color w:val="auto"/>
          <w:sz w:val="32"/>
          <w:szCs w:val="32"/>
          <w:shd w:val="clear" w:color="auto" w:fill="FFFFFF"/>
        </w:rPr>
        <w:t>原因是</w:t>
      </w:r>
      <w:r>
        <w:rPr>
          <w:rFonts w:hint="default" w:ascii="Times New Roman" w:hAnsi="Times New Roman" w:eastAsia="方正仿宋_GBK" w:cs="Times New Roman"/>
          <w:color w:val="auto"/>
          <w:sz w:val="32"/>
          <w:szCs w:val="32"/>
          <w:shd w:val="clear" w:color="auto" w:fill="FFFFFF"/>
          <w:lang w:eastAsia="zh-CN"/>
        </w:rPr>
        <w:t>本年度未产生相关支出</w:t>
      </w:r>
      <w:r>
        <w:rPr>
          <w:rFonts w:hint="default" w:ascii="Times New Roman" w:hAnsi="Times New Roman" w:eastAsia="方正仿宋_GBK" w:cs="Times New Roman"/>
          <w:color w:val="auto"/>
          <w:sz w:val="32"/>
          <w:szCs w:val="32"/>
          <w:shd w:val="clear" w:color="auto" w:fill="FFFFFF"/>
        </w:rPr>
        <w:t>。本年度培训费支出2.43万元，与2023年度相比，减少0.27万元，下降10.0%，主要原因是</w:t>
      </w:r>
      <w:r>
        <w:rPr>
          <w:rFonts w:hint="default" w:ascii="Times New Roman" w:hAnsi="Times New Roman" w:eastAsia="方正仿宋_GBK" w:cs="Times New Roman"/>
          <w:color w:val="auto"/>
          <w:sz w:val="32"/>
          <w:szCs w:val="32"/>
          <w:shd w:val="clear" w:color="auto" w:fill="FFFFFF"/>
          <w:lang w:eastAsia="zh-CN"/>
        </w:rPr>
        <w:t>本年度培训减少</w:t>
      </w:r>
      <w:r>
        <w:rPr>
          <w:rFonts w:hint="default" w:ascii="Times New Roman" w:hAnsi="Times New Roman" w:eastAsia="方正仿宋_GBK" w:cs="Times New Roman"/>
          <w:color w:val="auto"/>
          <w:sz w:val="32"/>
          <w:szCs w:val="32"/>
          <w:shd w:val="clear" w:color="auto" w:fill="FFFFFF"/>
        </w:rPr>
        <w:t>。本年度差旅费支出3.59</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与2023年度相比，增加0.61万元，增长20.5%，主要原因是</w:t>
      </w:r>
      <w:r>
        <w:rPr>
          <w:rFonts w:hint="default" w:ascii="Times New Roman" w:hAnsi="Times New Roman" w:eastAsia="方正仿宋_GBK" w:cs="Times New Roman"/>
          <w:color w:val="auto"/>
          <w:sz w:val="32"/>
          <w:szCs w:val="32"/>
          <w:shd w:val="clear" w:color="auto" w:fill="FFFFFF"/>
          <w:lang w:eastAsia="zh-CN"/>
        </w:rPr>
        <w:t>职工出差增加</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机关运行经费支出93.63万元，机关运行经费主要用于开支</w:t>
      </w:r>
      <w:r>
        <w:rPr>
          <w:rFonts w:hint="default" w:ascii="Times New Roman" w:hAnsi="Times New Roman" w:eastAsia="方正仿宋_GBK" w:cs="Times New Roman"/>
          <w:color w:val="auto"/>
          <w:sz w:val="32"/>
          <w:szCs w:val="32"/>
          <w:shd w:val="clear" w:color="auto" w:fill="FFFFFF"/>
        </w:rPr>
        <w:t>办公费、电费、邮电费、劳务费、其他交通费用等。</w:t>
      </w:r>
      <w:r>
        <w:rPr>
          <w:rFonts w:hint="default" w:ascii="Times New Roman" w:hAnsi="Times New Roman" w:eastAsia="方正仿宋_GBK" w:cs="Times New Roman"/>
          <w:sz w:val="32"/>
          <w:szCs w:val="32"/>
          <w:shd w:val="clear" w:color="auto" w:fill="FFFFFF"/>
        </w:rPr>
        <w:t>机关运行经费较上年支出数增加20.24万元，增长27.6%，主要原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sz w:val="32"/>
          <w:szCs w:val="32"/>
          <w:shd w:val="clear" w:color="auto" w:fill="FFFFFF"/>
          <w:lang w:eastAsia="zh-CN"/>
        </w:rPr>
        <w:t>新增事业发展经费、事业服务经费</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bCs/>
          <w:color w:val="auto"/>
          <w:sz w:val="32"/>
          <w:szCs w:val="32"/>
          <w:highlight w:val="yellow"/>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政府采购支出总额91.77万元，其中：政府采购货物支出1.77万元、政府采购工程支出0.00万元、政府采购服务支出90.00万元。授予中小企业合同金额91.77</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元，占政府采购支出总额的100.0%，其中：授予小微企业合同金额91.77万元，占政府采购支出总额的100.0 %。主要用于采购</w:t>
      </w:r>
      <w:r>
        <w:rPr>
          <w:rFonts w:hint="default" w:ascii="Times New Roman" w:hAnsi="Times New Roman" w:eastAsia="方正仿宋_GBK" w:cs="Times New Roman"/>
          <w:sz w:val="32"/>
          <w:szCs w:val="32"/>
          <w:shd w:val="clear" w:color="auto" w:fill="FFFFFF"/>
          <w:lang w:eastAsia="zh-CN"/>
        </w:rPr>
        <w:t>办公设备及就业创业活动</w:t>
      </w:r>
      <w:r>
        <w:rPr>
          <w:rFonts w:hint="default" w:ascii="Times New Roman" w:hAnsi="Times New Roman" w:eastAsia="方正仿宋_GBK" w:cs="Times New Roman"/>
          <w:color w:val="auto"/>
          <w:sz w:val="32"/>
          <w:szCs w:val="32"/>
          <w:shd w:val="clear" w:color="auto" w:fill="FFFFFF"/>
          <w:lang w:eastAsia="zh-CN"/>
        </w:rPr>
        <w:t>外包服务</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8"/>
          <w:rFonts w:hint="default" w:ascii="Times New Roman" w:hAnsi="Times New Roman" w:eastAsia="黑体" w:cs="Times New Roman"/>
          <w:b/>
          <w:bCs w:val="0"/>
          <w:sz w:val="32"/>
          <w:szCs w:val="32"/>
          <w:shd w:val="clear" w:color="auto" w:fill="FFFFFF"/>
          <w:lang w:val="en-US" w:eastAsia="zh-CN" w:bidi="ar-SA"/>
        </w:rPr>
      </w:pPr>
      <w:r>
        <w:rPr>
          <w:rStyle w:val="8"/>
          <w:rFonts w:hint="default" w:ascii="Times New Roman" w:hAnsi="Times New Roman" w:eastAsia="黑体" w:cs="Times New Roman"/>
          <w:b/>
          <w:bCs w:val="0"/>
          <w:sz w:val="32"/>
          <w:szCs w:val="32"/>
          <w:shd w:val="clear" w:color="auto" w:fill="FFFFFF"/>
        </w:rPr>
        <w:t>五、</w:t>
      </w:r>
      <w:r>
        <w:rPr>
          <w:rStyle w:val="8"/>
          <w:rFonts w:hint="default" w:ascii="Times New Roman" w:hAnsi="Times New Roman" w:eastAsia="黑体" w:cs="Times New Roman"/>
          <w:b/>
          <w:bCs w:val="0"/>
          <w:sz w:val="32"/>
          <w:szCs w:val="32"/>
          <w:shd w:val="clear" w:color="auto" w:fill="FFFFFF"/>
          <w:lang w:eastAsia="zh-CN"/>
        </w:rPr>
        <w:t>预算</w:t>
      </w:r>
      <w:r>
        <w:rPr>
          <w:rStyle w:val="8"/>
          <w:rFonts w:hint="default" w:ascii="Times New Roman" w:hAnsi="Times New Roman" w:eastAsia="黑体" w:cs="Times New Roman"/>
          <w:b/>
          <w:bCs w:val="0"/>
          <w:sz w:val="32"/>
          <w:szCs w:val="32"/>
          <w:shd w:val="clear" w:color="auto" w:fill="FFFFFF"/>
          <w:lang w:val="en-US" w:eastAsia="zh-CN" w:bidi="ar-SA"/>
        </w:rPr>
        <w:t>绩效管理情况说明</w:t>
      </w:r>
    </w:p>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bidi="ar"/>
        </w:rPr>
        <w:t>（一）</w:t>
      </w:r>
      <w:r>
        <w:rPr>
          <w:rFonts w:hint="default" w:ascii="Times New Roman" w:hAnsi="Times New Roman" w:eastAsia="楷体" w:cs="Times New Roman"/>
          <w:b/>
          <w:bCs/>
          <w:sz w:val="32"/>
          <w:szCs w:val="32"/>
          <w:shd w:val="clear" w:color="auto" w:fill="FFFFFF"/>
          <w:lang w:val="en-US" w:eastAsia="zh-CN" w:bidi="ar"/>
        </w:rPr>
        <w:t>单位</w:t>
      </w:r>
      <w:r>
        <w:rPr>
          <w:rFonts w:hint="default" w:ascii="Times New Roman" w:hAnsi="Times New Roman" w:eastAsia="楷体" w:cs="Times New Roman"/>
          <w:b/>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sz w:val="32"/>
          <w:szCs w:val="32"/>
          <w:shd w:val="clear" w:color="auto" w:fill="FFFFFF"/>
          <w:lang w:eastAsia="zh-CN"/>
        </w:rPr>
        <w:t>本</w:t>
      </w:r>
      <w:r>
        <w:rPr>
          <w:rFonts w:hint="default" w:ascii="Times New Roman" w:hAnsi="Times New Roman" w:eastAsia="方正仿宋_GBK" w:cs="Times New Roman"/>
          <w:sz w:val="32"/>
          <w:szCs w:val="32"/>
          <w:shd w:val="clear" w:color="auto" w:fill="FFFFFF"/>
        </w:rPr>
        <w:t>单位对</w:t>
      </w:r>
      <w:r>
        <w:rPr>
          <w:rFonts w:hint="default" w:ascii="Times New Roman" w:hAnsi="Times New Roman" w:eastAsia="方正仿宋_GBK" w:cs="Times New Roman"/>
          <w:sz w:val="32"/>
          <w:szCs w:val="32"/>
          <w:shd w:val="clear" w:color="auto" w:fill="FFFFFF"/>
          <w:lang w:val="en-US" w:eastAsia="zh-CN" w:bidi="ar-SA"/>
        </w:rPr>
        <w:t>10</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bidi="ar-SA"/>
        </w:rPr>
        <w:t>6196.58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9"/>
        <w:tblW w:w="9150" w:type="dxa"/>
        <w:jc w:val="center"/>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
        <w:gridCol w:w="1787"/>
        <w:gridCol w:w="2768"/>
        <w:gridCol w:w="504"/>
        <w:gridCol w:w="709"/>
        <w:gridCol w:w="629"/>
        <w:gridCol w:w="326"/>
        <w:gridCol w:w="784"/>
        <w:gridCol w:w="402"/>
        <w:gridCol w:w="287"/>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9150" w:type="dxa"/>
            <w:gridSpan w:val="11"/>
            <w:shd w:val="clear" w:color="auto" w:fill="auto"/>
            <w:vAlign w:val="center"/>
          </w:tcPr>
          <w:p>
            <w:pPr>
              <w:keepNext w:val="0"/>
              <w:keepLines w:val="0"/>
              <w:pageBreakBefore w:val="0"/>
              <w:widowControl/>
              <w:suppressLineNumbers w:val="0"/>
              <w:kinsoku/>
              <w:overflowPunct/>
              <w:topLinePunct w:val="0"/>
              <w:autoSpaceDN/>
              <w:bidi w:val="0"/>
              <w:adjustRightInd/>
              <w:ind w:firstLineChars="20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秀山土家族苗族自治县就业和人才中心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150" w:type="dxa"/>
            <w:gridSpan w:val="11"/>
            <w:shd w:val="clear" w:color="auto" w:fill="auto"/>
            <w:vAlign w:val="center"/>
          </w:tcPr>
          <w:p>
            <w:pPr>
              <w:keepNext w:val="0"/>
              <w:keepLines w:val="0"/>
              <w:pageBreakBefore w:val="0"/>
              <w:widowControl/>
              <w:suppressLineNumbers w:val="0"/>
              <w:kinsoku/>
              <w:overflowPunct/>
              <w:topLinePunct w:val="0"/>
              <w:autoSpaceDN/>
              <w:bidi w:val="0"/>
              <w:adjustRightInd/>
              <w:ind w:firstLineChars="20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2024年度项目支出绩效自评情况表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2024年脱贫人口跨区域务工交通补助项目[-]-渝财农〔2023〕146号</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定额补贴标准</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元/人</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30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资金拨付及时性</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z w:val="18"/>
                <w:szCs w:val="18"/>
                <w:u w:val="none"/>
                <w:lang w:val="en-US" w:eastAsia="zh-CN"/>
              </w:rPr>
              <w:t>98</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30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补贴人数</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万人</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lang w:val="en-US" w:eastAsia="zh-CN"/>
              </w:rPr>
            </w:pPr>
            <w:r>
              <w:rPr>
                <w:rFonts w:hint="default" w:ascii="Times New Roman" w:hAnsi="Times New Roman" w:eastAsia="方正仿宋_GBK" w:cs="Times New Roman"/>
                <w:i w:val="0"/>
                <w:color w:val="auto"/>
                <w:sz w:val="18"/>
                <w:szCs w:val="18"/>
                <w:u w:val="none"/>
                <w:lang w:val="en-US" w:eastAsia="zh-CN"/>
              </w:rPr>
              <w:t>40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中央就业补助资金</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社会保险补贴发放准确率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职业培训补贴发放准确率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资金在规定时间内下达率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年末高校毕业生总体就业率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22"/>
                <w:szCs w:val="22"/>
                <w:u w:val="none"/>
              </w:rPr>
            </w:pP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就业扶持政策经办服务满意度</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20</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方正仿宋_GBK" w:cs="Times New Roman"/>
                <w:i w:val="0"/>
                <w:color w:val="000000"/>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jc w:val="both"/>
              <w:rPr>
                <w:rFonts w:hint="default" w:ascii="Times New Roman" w:hAnsi="Times New Roman" w:eastAsia="宋体" w:cs="Times New Roman"/>
                <w:i w:val="0"/>
                <w:color w:val="000000"/>
                <w:sz w:val="18"/>
                <w:szCs w:val="18"/>
                <w:u w:val="none"/>
              </w:rPr>
            </w:pPr>
          </w:p>
        </w:tc>
      </w:tr>
    </w:tbl>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val="en-US" w:eastAsia="zh-CN" w:bidi="ar"/>
        </w:rPr>
        <w:t>（二）单位绩效评价情况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zh-CN" w:eastAsia="zh-CN" w:bidi="ar-SA"/>
        </w:rPr>
      </w:pPr>
      <w:r>
        <w:rPr>
          <w:rFonts w:hint="default" w:ascii="Times New Roman" w:hAnsi="Times New Roman" w:eastAsia="方正仿宋_GBK" w:cs="Times New Roman"/>
          <w:sz w:val="32"/>
          <w:szCs w:val="32"/>
          <w:shd w:val="clear" w:color="auto" w:fill="FFFFFF"/>
          <w:lang w:val="zh-CN" w:eastAsia="zh-CN" w:bidi="ar-SA"/>
        </w:rPr>
        <w:t>本单位对</w:t>
      </w:r>
      <w:r>
        <w:rPr>
          <w:rFonts w:hint="default" w:ascii="Times New Roman" w:hAnsi="Times New Roman" w:eastAsia="方正仿宋_GBK" w:cs="Times New Roman"/>
          <w:sz w:val="32"/>
          <w:szCs w:val="32"/>
          <w:shd w:val="clear" w:color="auto" w:fill="FFFFFF"/>
          <w:lang w:val="en-US" w:eastAsia="zh-CN" w:bidi="ar-SA"/>
        </w:rPr>
        <w:t>秀山县2024年低收入人口培训及转移就业项目（2024年德州帮扶）</w:t>
      </w:r>
      <w:r>
        <w:rPr>
          <w:rFonts w:hint="default" w:ascii="Times New Roman" w:hAnsi="Times New Roman" w:eastAsia="方正仿宋_GBK" w:cs="Times New Roman"/>
          <w:sz w:val="32"/>
          <w:szCs w:val="32"/>
          <w:shd w:val="clear" w:color="auto" w:fill="FFFFFF"/>
          <w:lang w:val="zh-CN" w:eastAsia="zh-CN" w:bidi="ar-SA"/>
        </w:rPr>
        <w:t>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155</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99.72</w:t>
      </w:r>
      <w:r>
        <w:rPr>
          <w:rFonts w:hint="default" w:ascii="Times New Roman" w:hAnsi="Times New Roman" w:eastAsia="方正仿宋_GBK" w:cs="Times New Roman"/>
          <w:sz w:val="32"/>
          <w:szCs w:val="32"/>
          <w:shd w:val="clear" w:color="auto" w:fill="FFFFFF"/>
          <w:lang w:val="zh-CN" w:eastAsia="zh-CN" w:bidi="ar-SA"/>
        </w:rPr>
        <w:t>分，评价等次为优；对春节走访慰问活动经费项目开展了绩效评价，涉及财政拨款项目资金18.07万元，评价得分100分，评价等次为优；对资产处置专项经费开展了绩效评价，涉及财政拨款项目资金44.17万元，评价得分100分，评价等次为优；对秀山县2024—2025年跨区域交通补贴（二批）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100</w:t>
      </w:r>
      <w:r>
        <w:rPr>
          <w:rFonts w:hint="default" w:ascii="Times New Roman" w:hAnsi="Times New Roman" w:eastAsia="方正仿宋_GBK" w:cs="Times New Roman"/>
          <w:sz w:val="32"/>
          <w:szCs w:val="32"/>
          <w:shd w:val="clear" w:color="auto" w:fill="FFFFFF"/>
          <w:lang w:val="zh-CN" w:eastAsia="zh-CN" w:bidi="ar-SA"/>
        </w:rPr>
        <w:t>万元，评价得分50.79分，评价等次</w:t>
      </w:r>
      <w:r>
        <w:rPr>
          <w:rFonts w:hint="default" w:ascii="Times New Roman" w:hAnsi="Times New Roman" w:eastAsia="方正仿宋_GBK" w:cs="Times New Roman"/>
          <w:color w:val="auto"/>
          <w:sz w:val="32"/>
          <w:szCs w:val="32"/>
          <w:shd w:val="clear" w:color="auto" w:fill="FFFFFF"/>
          <w:lang w:val="zh-CN" w:eastAsia="zh-CN" w:bidi="ar-SA"/>
        </w:rPr>
        <w:t>为良好</w:t>
      </w:r>
      <w:r>
        <w:rPr>
          <w:rFonts w:hint="default" w:ascii="Times New Roman" w:hAnsi="Times New Roman" w:eastAsia="方正仿宋_GBK" w:cs="Times New Roman"/>
          <w:sz w:val="32"/>
          <w:szCs w:val="32"/>
          <w:shd w:val="clear" w:color="auto" w:fill="FFFFFF"/>
          <w:lang w:val="zh-CN" w:eastAsia="zh-CN" w:bidi="ar-SA"/>
        </w:rPr>
        <w:t>；对创业担保贷款贴息及奖补开展了绩效评价，涉及财政拨款项目资金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17.13</w:t>
      </w:r>
      <w:r>
        <w:rPr>
          <w:rFonts w:hint="default" w:ascii="Times New Roman" w:hAnsi="Times New Roman" w:eastAsia="方正仿宋_GBK" w:cs="Times New Roman"/>
          <w:sz w:val="32"/>
          <w:szCs w:val="32"/>
          <w:shd w:val="clear" w:color="auto" w:fill="FFFFFF"/>
          <w:lang w:val="zh-CN" w:eastAsia="zh-CN" w:bidi="ar-SA"/>
        </w:rPr>
        <w:t>万元，评价得分100分，评价等次为优；对惠普金融发展专项资金（中央）开展了绩效评价，涉及财政拨款项目资金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302.84</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97.99</w:t>
      </w:r>
      <w:r>
        <w:rPr>
          <w:rFonts w:hint="default" w:ascii="Times New Roman" w:hAnsi="Times New Roman" w:eastAsia="方正仿宋_GBK" w:cs="Times New Roman"/>
          <w:sz w:val="32"/>
          <w:szCs w:val="32"/>
          <w:shd w:val="clear" w:color="auto" w:fill="FFFFFF"/>
          <w:lang w:val="zh-CN" w:eastAsia="zh-CN" w:bidi="ar-SA"/>
        </w:rPr>
        <w:t>分，评价等次为优；对中央就业补助资金开展了绩效评价，涉及财政拨款项目资金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5065</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99.11</w:t>
      </w:r>
      <w:r>
        <w:rPr>
          <w:rFonts w:hint="default" w:ascii="Times New Roman" w:hAnsi="Times New Roman" w:eastAsia="方正仿宋_GBK" w:cs="Times New Roman"/>
          <w:sz w:val="32"/>
          <w:szCs w:val="32"/>
          <w:shd w:val="clear" w:color="auto" w:fill="FFFFFF"/>
          <w:lang w:val="zh-CN" w:eastAsia="zh-CN" w:bidi="ar-SA"/>
        </w:rPr>
        <w:t>分，评价等次为优；对2024年脱贫人口跨区域务工交通补助项目[-]-渝财农〔2024〕26号开展了绩效评价，涉及财政拨款项目资金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100</w:t>
      </w:r>
      <w:r>
        <w:rPr>
          <w:rFonts w:hint="default" w:ascii="Times New Roman" w:hAnsi="Times New Roman" w:eastAsia="方正仿宋_GBK" w:cs="Times New Roman"/>
          <w:sz w:val="32"/>
          <w:szCs w:val="32"/>
          <w:shd w:val="clear" w:color="auto" w:fill="FFFFFF"/>
          <w:lang w:val="zh-CN" w:eastAsia="zh-CN" w:bidi="ar-SA"/>
        </w:rPr>
        <w:t>万元，评价得分100分，评价等次为优；对2024年合川秀山劳务转移及劳动力培训项目-渝财预〔2023〕39号开展了绩效评价，涉及财政拨款项目资金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30</w:t>
      </w:r>
      <w:r>
        <w:rPr>
          <w:rFonts w:hint="default" w:ascii="Times New Roman" w:hAnsi="Times New Roman" w:eastAsia="方正仿宋_GBK" w:cs="Times New Roman"/>
          <w:sz w:val="32"/>
          <w:szCs w:val="32"/>
          <w:shd w:val="clear" w:color="auto" w:fill="FFFFFF"/>
          <w:lang w:val="zh-CN"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99.59</w:t>
      </w:r>
      <w:r>
        <w:rPr>
          <w:rFonts w:hint="default" w:ascii="Times New Roman" w:hAnsi="Times New Roman" w:eastAsia="方正仿宋_GBK" w:cs="Times New Roman"/>
          <w:sz w:val="32"/>
          <w:szCs w:val="32"/>
          <w:shd w:val="clear" w:color="auto" w:fill="FFFFFF"/>
          <w:lang w:val="zh-CN" w:eastAsia="zh-CN" w:bidi="ar-SA"/>
        </w:rPr>
        <w:t>分，评价等次为优；对2024年脱贫人口跨区域务工交通补助项目[-]-渝财农〔2023〕146号开展了绩效评价，涉及财政拨款项目资金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364.38</w:t>
      </w:r>
      <w:r>
        <w:rPr>
          <w:rFonts w:hint="default" w:ascii="Times New Roman" w:hAnsi="Times New Roman" w:eastAsia="方正仿宋_GBK" w:cs="Times New Roman"/>
          <w:sz w:val="32"/>
          <w:szCs w:val="32"/>
          <w:shd w:val="clear" w:color="auto" w:fill="FFFFFF"/>
          <w:lang w:val="zh-CN" w:eastAsia="zh-CN" w:bidi="ar-SA"/>
        </w:rPr>
        <w:t>万元，评价得分100分，评价等次为优。</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zh-CN" w:eastAsia="zh-CN" w:bidi="ar-SA"/>
        </w:rPr>
        <w:t>本单位将持续推进项目实施，充分考虑专项资金支出平均性，加强预算执行管理，根据工作开展情况合理调整支出进度。</w:t>
      </w:r>
    </w:p>
    <w:p>
      <w:pPr>
        <w:pStyle w:val="11"/>
        <w:autoSpaceDE w:val="0"/>
        <w:ind w:firstLine="640"/>
        <w:rPr>
          <w:rFonts w:hint="default" w:ascii="Times New Roman" w:hAnsi="Times New Roman" w:eastAsia="楷体" w:cs="Times New Roman"/>
          <w:b/>
          <w:bCs/>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lang w:val="en-US" w:eastAsia="zh-CN" w:bidi="ar"/>
        </w:rPr>
        <w:t>（三）财政绩效评价情况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县财政局未委托第三方对</w:t>
      </w:r>
      <w:r>
        <w:rPr>
          <w:rFonts w:hint="default" w:ascii="Times New Roman" w:hAnsi="Times New Roman" w:eastAsia="方正仿宋_GBK" w:cs="Times New Roman"/>
          <w:sz w:val="32"/>
          <w:szCs w:val="32"/>
          <w:shd w:val="clear" w:color="auto" w:fill="FFFFFF"/>
          <w:lang w:val="zh-CN" w:eastAsia="zh-CN" w:bidi="ar-SA"/>
        </w:rPr>
        <w:t>本单位</w:t>
      </w:r>
      <w:r>
        <w:rPr>
          <w:rFonts w:hint="default" w:ascii="Times New Roman" w:hAnsi="Times New Roman" w:eastAsia="方正仿宋_GBK" w:cs="Times New Roman"/>
          <w:sz w:val="32"/>
          <w:szCs w:val="32"/>
          <w:shd w:val="clear" w:color="auto" w:fill="FFFFFF"/>
          <w:lang w:val="en-US" w:eastAsia="zh-CN" w:bidi="ar-SA"/>
        </w:rPr>
        <w:t>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b/>
          <w:bCs w:val="0"/>
          <w:sz w:val="32"/>
          <w:szCs w:val="32"/>
          <w:shd w:val="clear" w:color="auto" w:fill="FFFFFF"/>
        </w:rPr>
      </w:pPr>
      <w:bookmarkStart w:id="0" w:name="_GoBack"/>
      <w:r>
        <w:rPr>
          <w:rStyle w:val="8"/>
          <w:rFonts w:hint="default" w:ascii="Times New Roman" w:hAnsi="Times New Roman" w:eastAsia="黑体" w:cs="Times New Roman"/>
          <w:b/>
          <w:bCs w:val="0"/>
          <w:sz w:val="32"/>
          <w:szCs w:val="32"/>
          <w:shd w:val="clear" w:color="auto" w:fill="FFFFFF"/>
          <w:lang w:eastAsia="zh-CN"/>
        </w:rPr>
        <w:t>六</w:t>
      </w:r>
      <w:r>
        <w:rPr>
          <w:rStyle w:val="8"/>
          <w:rFonts w:hint="default" w:ascii="Times New Roman" w:hAnsi="Times New Roman" w:eastAsia="黑体" w:cs="Times New Roman"/>
          <w:b/>
          <w:bCs w:val="0"/>
          <w:sz w:val="32"/>
          <w:szCs w:val="32"/>
          <w:shd w:val="clear" w:color="auto" w:fill="FFFFFF"/>
        </w:rPr>
        <w:t>、专业名词解释</w:t>
      </w:r>
    </w:p>
    <w:bookmarkEnd w:id="0"/>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二</w:t>
      </w:r>
      <w:r>
        <w:rPr>
          <w:rStyle w:val="8"/>
          <w:rFonts w:hint="default" w:ascii="Times New Roman" w:hAnsi="Times New Roman" w:eastAsia="楷体" w:cs="Times New Roman"/>
          <w:sz w:val="32"/>
          <w:szCs w:val="32"/>
          <w:shd w:val="clear" w:color="auto" w:fill="FFFFFF"/>
        </w:rPr>
        <w:t>）其他收入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三</w:t>
      </w:r>
      <w:r>
        <w:rPr>
          <w:rStyle w:val="8"/>
          <w:rFonts w:hint="default" w:ascii="Times New Roman" w:hAnsi="Times New Roman" w:eastAsia="楷体" w:cs="Times New Roman"/>
          <w:sz w:val="32"/>
          <w:szCs w:val="32"/>
          <w:shd w:val="clear" w:color="auto" w:fill="FFFFFF"/>
        </w:rPr>
        <w:t>）使用非财政拨款结余</w:t>
      </w:r>
      <w:r>
        <w:rPr>
          <w:rStyle w:val="8"/>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四</w:t>
      </w:r>
      <w:r>
        <w:rPr>
          <w:rStyle w:val="8"/>
          <w:rFonts w:hint="default" w:ascii="Times New Roman" w:hAnsi="Times New Roman" w:eastAsia="楷体" w:cs="Times New Roman"/>
          <w:sz w:val="32"/>
          <w:szCs w:val="32"/>
          <w:shd w:val="clear" w:color="auto" w:fill="FFFFFF"/>
        </w:rPr>
        <w:t>）年初结转和结余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五</w:t>
      </w:r>
      <w:r>
        <w:rPr>
          <w:rStyle w:val="8"/>
          <w:rFonts w:hint="default" w:ascii="Times New Roman" w:hAnsi="Times New Roman" w:eastAsia="楷体" w:cs="Times New Roman"/>
          <w:sz w:val="32"/>
          <w:szCs w:val="32"/>
          <w:shd w:val="clear" w:color="auto" w:fill="FFFFFF"/>
        </w:rPr>
        <w:t>）结余分配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六</w:t>
      </w:r>
      <w:r>
        <w:rPr>
          <w:rStyle w:val="8"/>
          <w:rFonts w:hint="default" w:ascii="Times New Roman" w:hAnsi="Times New Roman" w:eastAsia="楷体" w:cs="Times New Roman"/>
          <w:sz w:val="32"/>
          <w:szCs w:val="32"/>
          <w:shd w:val="clear" w:color="auto" w:fill="FFFFFF"/>
        </w:rPr>
        <w:t>）年末结转和结余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七</w:t>
      </w:r>
      <w:r>
        <w:rPr>
          <w:rStyle w:val="8"/>
          <w:rFonts w:hint="default" w:ascii="Times New Roman" w:hAnsi="Times New Roman" w:eastAsia="楷体" w:cs="Times New Roman"/>
          <w:sz w:val="32"/>
          <w:szCs w:val="32"/>
          <w:shd w:val="clear" w:color="auto" w:fill="FFFFFF"/>
        </w:rPr>
        <w:t>）基本支出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八</w:t>
      </w:r>
      <w:r>
        <w:rPr>
          <w:rStyle w:val="8"/>
          <w:rFonts w:hint="default" w:ascii="Times New Roman" w:hAnsi="Times New Roman" w:eastAsia="楷体" w:cs="Times New Roman"/>
          <w:sz w:val="32"/>
          <w:szCs w:val="32"/>
          <w:shd w:val="clear" w:color="auto" w:fill="FFFFFF"/>
        </w:rPr>
        <w:t>）项目支出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w:t>
      </w:r>
      <w:r>
        <w:rPr>
          <w:rStyle w:val="8"/>
          <w:rFonts w:hint="default" w:ascii="Times New Roman" w:hAnsi="Times New Roman" w:eastAsia="楷体" w:cs="Times New Roman"/>
          <w:sz w:val="32"/>
          <w:szCs w:val="32"/>
          <w:shd w:val="clear" w:color="auto" w:fill="FFFFFF"/>
          <w:lang w:eastAsia="zh-CN"/>
        </w:rPr>
        <w:t>九</w:t>
      </w:r>
      <w:r>
        <w:rPr>
          <w:rStyle w:val="8"/>
          <w:rFonts w:hint="default" w:ascii="Times New Roman" w:hAnsi="Times New Roman" w:eastAsia="楷体" w:cs="Times New Roman"/>
          <w:sz w:val="32"/>
          <w:szCs w:val="32"/>
          <w:shd w:val="clear" w:color="auto" w:fill="FFFFFF"/>
        </w:rPr>
        <w:t>）“三公”经费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一</w:t>
      </w:r>
      <w:r>
        <w:rPr>
          <w:rStyle w:val="8"/>
          <w:rFonts w:hint="default" w:ascii="Times New Roman" w:hAnsi="Times New Roman" w:eastAsia="楷体" w:cs="Times New Roman"/>
          <w:sz w:val="32"/>
          <w:szCs w:val="32"/>
          <w:shd w:val="clear" w:color="auto" w:fill="FFFFFF"/>
        </w:rPr>
        <w:t>）工资福利支出（支出经济分类科目类级）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二</w:t>
      </w:r>
      <w:r>
        <w:rPr>
          <w:rStyle w:val="8"/>
          <w:rFonts w:hint="default" w:ascii="Times New Roman" w:hAnsi="Times New Roman" w:eastAsia="楷体" w:cs="Times New Roman"/>
          <w:sz w:val="32"/>
          <w:szCs w:val="32"/>
          <w:shd w:val="clear" w:color="auto" w:fill="FFFFFF"/>
        </w:rPr>
        <w:t>）商品和服务支出（支出经济分类科目类级）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三</w:t>
      </w:r>
      <w:r>
        <w:rPr>
          <w:rStyle w:val="8"/>
          <w:rFonts w:hint="default" w:ascii="Times New Roman" w:hAnsi="Times New Roman" w:eastAsia="楷体" w:cs="Times New Roman"/>
          <w:sz w:val="32"/>
          <w:szCs w:val="32"/>
          <w:shd w:val="clear" w:color="auto" w:fill="FFFFFF"/>
        </w:rPr>
        <w:t>）对个人和家庭的补助（支出经济分类科目类级）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sz w:val="32"/>
          <w:szCs w:val="32"/>
          <w:shd w:val="clear" w:color="auto" w:fill="FFFFFF"/>
        </w:rPr>
        <w:t>（十</w:t>
      </w:r>
      <w:r>
        <w:rPr>
          <w:rStyle w:val="8"/>
          <w:rFonts w:hint="default" w:ascii="Times New Roman" w:hAnsi="Times New Roman" w:eastAsia="楷体" w:cs="Times New Roman"/>
          <w:sz w:val="32"/>
          <w:szCs w:val="32"/>
          <w:shd w:val="clear" w:color="auto" w:fill="FFFFFF"/>
          <w:lang w:eastAsia="zh-CN"/>
        </w:rPr>
        <w:t>四</w:t>
      </w:r>
      <w:r>
        <w:rPr>
          <w:rStyle w:val="8"/>
          <w:rFonts w:hint="default" w:ascii="Times New Roman" w:hAnsi="Times New Roman" w:eastAsia="楷体" w:cs="Times New Roman"/>
          <w:sz w:val="32"/>
          <w:szCs w:val="32"/>
          <w:shd w:val="clear" w:color="auto" w:fill="FFFFFF"/>
        </w:rPr>
        <w:t>）其他资本性支出（支出经济分类科目类级）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eastAsia="zh-CN"/>
        </w:rPr>
        <w:t>七</w:t>
      </w:r>
      <w:r>
        <w:rPr>
          <w:rStyle w:val="8"/>
          <w:rFonts w:hint="default" w:ascii="Times New Roman" w:hAnsi="Times New Roman" w:eastAsia="黑体" w:cs="Times New Roman"/>
          <w:sz w:val="32"/>
          <w:szCs w:val="32"/>
          <w:shd w:val="clear" w:color="auto" w:fill="FFFFFF"/>
        </w:rPr>
        <w:t>、决算公开联系方式及信息反馈渠道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仿宋_GBK" w:cs="Times New Roman"/>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eastAsia="zh-CN"/>
        </w:rPr>
        <w:t>黄靖宇</w:t>
      </w:r>
      <w:r>
        <w:rPr>
          <w:rFonts w:hint="default" w:ascii="Times New Roman" w:hAnsi="Times New Roman" w:eastAsia="方正仿宋_GBK" w:cs="Times New Roman"/>
          <w:sz w:val="32"/>
          <w:szCs w:val="32"/>
          <w:shd w:val="clear" w:color="auto" w:fill="FFFFFF"/>
          <w:lang w:val="en-US" w:eastAsia="zh-CN"/>
        </w:rPr>
        <w:t xml:space="preserve"> 023-76889318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秀山土家族苗族自治县就业和人才中心（本级）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6,204.72</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5,227.01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910.89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6,204.72</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6,212.32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6,218.71</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6,218.71</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秀山土家族苗族自治县就业和人才中心（本级）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秀山土家族苗族自治县就业和人才中心（本级）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6,212.32</w:t>
            </w:r>
            <w:r>
              <w:rPr>
                <w:rFonts w:hint="default" w:ascii="Times New Roman" w:hAnsi="Times New Roman" w:cs="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619.66</w:t>
            </w:r>
            <w:r>
              <w:rPr>
                <w:rFonts w:hint="default" w:ascii="Times New Roman" w:hAnsi="Times New Roman" w:cs="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5,592.66</w:t>
            </w:r>
            <w:r>
              <w:rPr>
                <w:rFonts w:hint="default" w:ascii="Times New Roman" w:hAnsi="Times New Roman" w:cs="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5,227.01</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545.24</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4,681.76</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516.91</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447.15</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69.76</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509.39</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447.15</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62.24</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7.53</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5,219.41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5,219.41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910.89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910.89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6,204.72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6,204.72</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5,585.13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5,219.41</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545.18</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4,674.24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509.32</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447.08</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509.32</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447.08</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98.10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46.16</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23.08</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就业创业服务补贴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34.37</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28.85</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910.89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651.68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651.68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259.21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创业担保贷款贴息及奖补</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259.21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39.60</w:t>
            </w:r>
            <w:r>
              <w:rPr>
                <w:rFonts w:hint="default" w:ascii="Times New Roman" w:hAnsi="Times New Roman" w:cs="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39.60</w:t>
            </w:r>
            <w:r>
              <w:rPr>
                <w:rFonts w:hint="default" w:ascii="Times New Roman" w:hAnsi="Times New Roman" w:cs="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495.13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91.86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111.86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93.51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131.07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525.97</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秀山土家族苗族自治县就业和人才中心（本级）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秀山土家族苗族自治县就业和人才中心（本级）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4.09</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4.09</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93.63</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3.63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0.47</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90.00</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91.77</w:t>
            </w:r>
            <w:r>
              <w:rPr>
                <w:rFonts w:hint="default" w:ascii="Times New Roman" w:hAnsi="Times New Roman" w:cs="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2.43</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4B71A1C"/>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AB62E65"/>
    <w:rsid w:val="0B9335CE"/>
    <w:rsid w:val="0BF2311A"/>
    <w:rsid w:val="0C7927C4"/>
    <w:rsid w:val="0C9B098C"/>
    <w:rsid w:val="0D673E11"/>
    <w:rsid w:val="0DDA54E4"/>
    <w:rsid w:val="0E3A5F83"/>
    <w:rsid w:val="0F133F3C"/>
    <w:rsid w:val="0F836721"/>
    <w:rsid w:val="0F9C23E7"/>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1B718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CEA4C2F"/>
    <w:rsid w:val="2DF41D09"/>
    <w:rsid w:val="2FCA4B37"/>
    <w:rsid w:val="2FE029D7"/>
    <w:rsid w:val="2FF06E00"/>
    <w:rsid w:val="30586FEC"/>
    <w:rsid w:val="315F0B22"/>
    <w:rsid w:val="31D84415"/>
    <w:rsid w:val="32285F6F"/>
    <w:rsid w:val="32770556"/>
    <w:rsid w:val="329C0913"/>
    <w:rsid w:val="32AA0460"/>
    <w:rsid w:val="330E735D"/>
    <w:rsid w:val="3337290D"/>
    <w:rsid w:val="33E31118"/>
    <w:rsid w:val="33EF7674"/>
    <w:rsid w:val="342D7BC6"/>
    <w:rsid w:val="352930DB"/>
    <w:rsid w:val="35573069"/>
    <w:rsid w:val="355F6038"/>
    <w:rsid w:val="358C217E"/>
    <w:rsid w:val="35CC1306"/>
    <w:rsid w:val="36C9128A"/>
    <w:rsid w:val="37841E99"/>
    <w:rsid w:val="37BF1123"/>
    <w:rsid w:val="383C3F15"/>
    <w:rsid w:val="3895443F"/>
    <w:rsid w:val="38BE4696"/>
    <w:rsid w:val="3939115E"/>
    <w:rsid w:val="39AB7AFE"/>
    <w:rsid w:val="39B82A39"/>
    <w:rsid w:val="39C42CA8"/>
    <w:rsid w:val="39DC4FD6"/>
    <w:rsid w:val="39F03D7A"/>
    <w:rsid w:val="39F33306"/>
    <w:rsid w:val="3A2C1C67"/>
    <w:rsid w:val="3A2C6DA1"/>
    <w:rsid w:val="3A516C4B"/>
    <w:rsid w:val="3A6A77C9"/>
    <w:rsid w:val="3ADD7F09"/>
    <w:rsid w:val="3B1705E5"/>
    <w:rsid w:val="3B18334B"/>
    <w:rsid w:val="3B36794F"/>
    <w:rsid w:val="3B6F6EE0"/>
    <w:rsid w:val="3C566AD6"/>
    <w:rsid w:val="3C594871"/>
    <w:rsid w:val="3C6A5B02"/>
    <w:rsid w:val="3D2757A1"/>
    <w:rsid w:val="3D3D4FC4"/>
    <w:rsid w:val="3DDF3AB1"/>
    <w:rsid w:val="3DFE721F"/>
    <w:rsid w:val="3E1D0952"/>
    <w:rsid w:val="3E42660A"/>
    <w:rsid w:val="3E7555B1"/>
    <w:rsid w:val="3E787ED9"/>
    <w:rsid w:val="3EB10F6E"/>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3E043E8"/>
    <w:rsid w:val="449F6D12"/>
    <w:rsid w:val="44C37687"/>
    <w:rsid w:val="45CB699A"/>
    <w:rsid w:val="46423C66"/>
    <w:rsid w:val="465B470D"/>
    <w:rsid w:val="469D6AD4"/>
    <w:rsid w:val="471E6C84"/>
    <w:rsid w:val="4748792B"/>
    <w:rsid w:val="475D719D"/>
    <w:rsid w:val="47674801"/>
    <w:rsid w:val="48225EF7"/>
    <w:rsid w:val="483271CA"/>
    <w:rsid w:val="488F422B"/>
    <w:rsid w:val="48E36915"/>
    <w:rsid w:val="48EB6572"/>
    <w:rsid w:val="48FF6B59"/>
    <w:rsid w:val="495C4A24"/>
    <w:rsid w:val="497135DF"/>
    <w:rsid w:val="4A263DF2"/>
    <w:rsid w:val="4A2F278B"/>
    <w:rsid w:val="4A6F6675"/>
    <w:rsid w:val="4B135857"/>
    <w:rsid w:val="4B7951CB"/>
    <w:rsid w:val="4B7C315C"/>
    <w:rsid w:val="4C1A14C4"/>
    <w:rsid w:val="4C9316A8"/>
    <w:rsid w:val="4D1F53CA"/>
    <w:rsid w:val="4DAC4ACA"/>
    <w:rsid w:val="4DBE01D2"/>
    <w:rsid w:val="4F0C6BA3"/>
    <w:rsid w:val="4F186D58"/>
    <w:rsid w:val="50CC39A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ECF245F"/>
    <w:rsid w:val="5F2D4A41"/>
    <w:rsid w:val="60C74F6C"/>
    <w:rsid w:val="61015958"/>
    <w:rsid w:val="61025A59"/>
    <w:rsid w:val="613D5BBC"/>
    <w:rsid w:val="61536C39"/>
    <w:rsid w:val="61894431"/>
    <w:rsid w:val="62944DD7"/>
    <w:rsid w:val="6319381F"/>
    <w:rsid w:val="63C25DC5"/>
    <w:rsid w:val="63C62057"/>
    <w:rsid w:val="63D87116"/>
    <w:rsid w:val="64571EF5"/>
    <w:rsid w:val="649779DC"/>
    <w:rsid w:val="64FB113D"/>
    <w:rsid w:val="650A3E42"/>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A26ABE"/>
    <w:rsid w:val="73C1611C"/>
    <w:rsid w:val="750837F0"/>
    <w:rsid w:val="754758CF"/>
    <w:rsid w:val="75595ECD"/>
    <w:rsid w:val="764F62AB"/>
    <w:rsid w:val="765C45EC"/>
    <w:rsid w:val="768A7619"/>
    <w:rsid w:val="772E1EBA"/>
    <w:rsid w:val="77A60CC4"/>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7</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黄靖宇</cp:lastModifiedBy>
  <dcterms:modified xsi:type="dcterms:W3CDTF">2025-09-28T08:52:42Z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