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秀山土家族苗族自治县医疗保障事务中心</w:t>
      </w: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eastAsia" w:ascii="Times New Roman" w:hAnsi="Times New Roman" w:eastAsia="方正楷体_GBK" w:cs="方正楷体_GBK"/>
          <w:b w:val="0"/>
          <w:bCs/>
          <w:color w:val="auto"/>
          <w:sz w:val="32"/>
          <w:szCs w:val="32"/>
          <w:shd w:val="clear" w:color="auto" w:fill="auto"/>
        </w:rPr>
      </w:pPr>
      <w:r>
        <w:rPr>
          <w:rStyle w:val="11"/>
          <w:rFonts w:hint="eastAsia" w:ascii="Times New Roman" w:hAnsi="Times New Roman" w:eastAsia="方正楷体_GBK" w:cs="方正楷体_GBK"/>
          <w:b w:val="0"/>
          <w:bCs/>
          <w:color w:val="auto"/>
          <w:sz w:val="32"/>
          <w:szCs w:val="32"/>
          <w:shd w:val="clear" w:color="auto" w:fill="auto"/>
        </w:rPr>
        <w:t>（一）职能职责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贯彻执行国家和重庆市医疗保障法律、法规、政策、规划和标准，负责医疗保险、生育保险、长期护理保险、医疗救助等业务经办，负责医疗保障政策宣传和业务培训工作，指导乡镇街道医疗保障业务经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2.负责拟定并组织实施医疗保障业务、财务、安全和风险管理制度及年度经办工作计划、实施方案；贯彻执行重庆市医疗保障资金监管有关规定和年度基金预、决算方案，承担辖县医疗保障资金财务核算工作，负责实施医疗保障资金支付方式改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3.负责医疗保险、生育保险、长期护理保险等参保对象的参保登记和业务办理、个人权益记录、关系转接、参保人员信息维护、统计等管理工作；按职责做好困难群众（含医疗救助对象）的参保登记和资助工作。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4.按职责做好医疗保障扶贫相关工作。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5.负责按规定审核支付基本医疗保险、生育保险、长期护理保险、医疗救助待遇工作；负责异地就医管理服务和特殊疾病患者认定管理相关工作；承担医疗机构、药店医保协议管理具体事务。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6.负责公务员医疗补助的经办管理，根据授权办理县级财政供养特殊人群医疗费用支付工作。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7.负责全县医疗保障信息管理系统建设和运行维护、数据分析运用、信息统计上报和医疗保障各类业务档案管理工作。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8.负责医疗保障业务咨询、查询，负责医疗保险稽核工作，受理和处理本机构职责范围内的举报投诉和定点医药机构的申诉。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9.负责贯彻执行国市药品、医用耗材、医疗服务项目、医疗服务设施等医保目录和支付标准。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10.负责对承办城镇职工大额医疗保险和城乡居民大病医疗保险的机构业务指导和监督管理。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11.承办主管部门交办的其他工作。</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1"/>
          <w:rFonts w:hint="default" w:ascii="Times New Roman" w:hAnsi="Times New Roman" w:eastAsia="方正楷体_GBK" w:cs="方正楷体_GBK"/>
          <w:b w:val="0"/>
          <w:bCs/>
          <w:color w:val="auto"/>
          <w:sz w:val="32"/>
          <w:szCs w:val="32"/>
          <w:shd w:val="clear" w:color="auto" w:fill="auto"/>
        </w:rPr>
      </w:pPr>
      <w:r>
        <w:rPr>
          <w:rStyle w:val="11"/>
          <w:rFonts w:hint="default" w:ascii="Times New Roman" w:hAnsi="Times New Roman" w:eastAsia="方正楷体_GBK" w:cs="方正楷体_GBK"/>
          <w:b w:val="0"/>
          <w:bCs/>
          <w:color w:val="auto"/>
          <w:sz w:val="32"/>
          <w:szCs w:val="32"/>
          <w:shd w:val="clear" w:color="auto" w:fill="auto"/>
        </w:rPr>
        <w:t>（二）机构设置</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1.综合科。</w:t>
      </w: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负责中心日常运转、综合协调、公文处理，承担综治、安全、应急、保密、宣传、信访、档案、督查和目标考核、资产管理、政务公开、网络舆情处置和业务大厅日常管理等工作；负责中心内部管理制度、工作计划的拟订并组织实施，牵头承担综合调研、政务信息任务，办理人大代表建议、政协委员提案；负责党的组织建设、纪检监察和工青妇工作，承担人事管理、教育培训、队伍建设等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2.基金财务科。负责经费年度预决算、会计核算、资产核算、政府采购、职工工资管理、津补贴发放等财务工作；负责医疗保险基金的年度预决算工作；负责医疗保险基金收入、支付、转移、退缴、结余等方面的会计核算和管理；负责医疗保险基金财务报表上报和运行分析；负责与基金征收机构、财政、基金开户行的财务核对；负责离退休干部、县级公务员医疗补助等资金的支付工作；负责农村贫困人口健康扶贫医疗基金的拨付工作；负责全县医疗救助及扶贫济困基金的拨付和收回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3.参保管理科。负责医疗保险参保对象信息登记和变更、注销登记，承担参保信息采集、录入、维护等业务；负责核定医疗保险年度缴费基数和月征缴计划，承担参保关系的拆分、转移、中断、接续和重复参保清退工作；负责参保对象个人账户的分摊和清退；负责领取养老待遇人员医疗保险缴费年限的审核确认、费用清算，承担县级公务员医疗补助的人员增减维护、资金注入工作；负责医疗保险、生育保险、长期护理保险等险种的参保扩面工作，承担参保单位和个人缴费、账户等信息查询任务；牵头负责医疗保障扶贫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4.职工医保待遇科。负责职工医疗保险、生育保险、长期护理保险费用的初审和结算管理、参保人员转诊转院和异地就医登记、大额保险经办管理工作，承担定点服务机构职工医保总额控制付费指标编制、运行分析和医疗保险总额控制付费年终清算；负责县级公务员医疗补助费用审核结算，承担财政供给的特殊人群医疗费用支付等工作；负责职工医保特殊疾病资格认定、信息维护和服务机构指导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5.居民医保待遇科。负责居民医疗保险、长期护理保险费用的初审和结算管理、参保人员转诊转院和异地就医登记、大病保险经办管理工作，承担定点服务机构居民医保总额控制付费指标编制、运行分析和医疗保险总额控制付费年终清算；负责居民医保特殊疾病资格认定、信息维护和服务机构指导工作，完成医疗保障扶贫待遇保障相关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6.医疗救助科。负责组织实施医疗救助政策，定期与民政、扶贫、退役军人事务、残联等部门比对医疗救助对象，实时维护更新信息；承担定点服务机构医疗救助资金结算、运行、分析；负责困难群众参加基本医疗保险资助管理；其他相关工作事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7.稽核内审科。承担定点医药机构协议管理具体事务，负责医疗机构、药店医保定点的申请受理、审查、评估等准入和退出管理事务；负责督促、指导定点医药机构履行服务协议，牵头承担医疗保障业务培训、指导工作；配合做好医疗保障资金监督管理违法违规案件查处，承担举报投诉受理、核查、回复等工作，受理定点医药机构对费用审减的复核、申诉；承担医保医师（药师）信息登记、维护工作；负责健全和组织实施医疗保障业务内控制度，负责对中心经办业务实施监督检查和内审工作；负责组织实施医疗保险费缴费情况和待遇支付情况进行核查；负责组织实施医疗保险外包服务及委托第三方审核等工作；其他相关工作事项。</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8.信息统计科。负责医疗保障网络系统和设备的安全运行维护及管理；负责业务科室工作人员、乡镇街道医保工作人员系统权限分配和管理；负责医疗保险药品目录、医疗服务项目等信息维护工作；负责医疗保障信息化建设，承担大数据管理和医疗保障业务统计、数据分析工作；其他相关工作事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default" w:ascii="方正黑体_GBK" w:hAnsi="方正黑体_GBK" w:eastAsia="方正黑体_GBK" w:cs="方正黑体_GBK"/>
          <w:b w:val="0"/>
          <w:bCs/>
          <w:color w:val="auto"/>
          <w:sz w:val="32"/>
          <w:szCs w:val="32"/>
          <w:shd w:val="clear" w:color="auto" w:fill="FFFFFF"/>
          <w:lang w:eastAsia="zh-CN"/>
        </w:rPr>
        <w:t>二、单位决算收支情况说明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1"/>
          <w:rFonts w:hint="default" w:ascii="Times New Roman" w:hAnsi="Times New Roman" w:eastAsia="方正楷体_GBK" w:cs="方正楷体_GBK"/>
          <w:b w:val="0"/>
          <w:bCs/>
          <w:color w:val="auto"/>
          <w:sz w:val="32"/>
          <w:szCs w:val="32"/>
          <w:shd w:val="clear" w:color="auto" w:fill="auto"/>
        </w:rPr>
      </w:pPr>
      <w:r>
        <w:rPr>
          <w:rStyle w:val="11"/>
          <w:rFonts w:hint="default" w:ascii="Times New Roman" w:hAnsi="Times New Roman" w:eastAsia="方正楷体_GBK" w:cs="方正楷体_GBK"/>
          <w:b w:val="0"/>
          <w:bCs/>
          <w:color w:val="auto"/>
          <w:sz w:val="32"/>
          <w:szCs w:val="32"/>
          <w:shd w:val="clear" w:color="auto" w:fill="auto"/>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459.87万元。收、支与2023年度相比，增加35.59万元，增长8.4%，主要原因是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1</w:t>
      </w:r>
      <w:r>
        <w:rPr>
          <w:rStyle w:val="11"/>
          <w:rFonts w:hint="default" w:ascii="Times New Roman" w:hAnsi="Times New Roman" w:eastAsia="方正仿宋_GBK" w:cs="Times New Roman"/>
          <w:b/>
          <w:bCs w:val="0"/>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社会保障和就业支出与卫生健康支出收入增加。</w:t>
      </w:r>
      <w:r>
        <w:rPr>
          <w:rFonts w:hint="default" w:ascii="Times New Roman" w:hAnsi="Times New Roman" w:eastAsia="方正仿宋_GBK" w:cs="Times New Roman"/>
          <w:b w:val="0"/>
          <w:bCs/>
          <w:color w:val="auto"/>
          <w:sz w:val="32"/>
          <w:szCs w:val="32"/>
          <w:shd w:val="clear" w:color="auto" w:fill="FFFFFF"/>
        </w:rPr>
        <w:t>其中：财政拨款收入459.87万元，占100.0%；事业收入0.00万元，占0.0%；经营收入0.00万元，占0.0%；其他收入0.00万元，占0.0%。此外，使用非财政拨款结余（含专用结余）0.00万元，年初结转和结余0.00万元。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2024年度支出合计459.87万元，与2023年度相比，增加35.59万元，增长8.4%，主要原因是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社会保障和就业支出与卫生健康支出增加。</w:t>
      </w:r>
      <w:r>
        <w:rPr>
          <w:rFonts w:hint="default" w:ascii="Times New Roman" w:hAnsi="Times New Roman" w:eastAsia="方正仿宋_GBK" w:cs="Times New Roman"/>
          <w:b w:val="0"/>
          <w:bCs/>
          <w:color w:val="auto"/>
          <w:sz w:val="32"/>
          <w:szCs w:val="32"/>
          <w:shd w:val="clear" w:color="auto" w:fill="FFFFFF"/>
        </w:rPr>
        <w:t>其中：基本支出459.87万元，占100.0%；项目支出0.00万元，占0.0%；经营支出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1"/>
          <w:rFonts w:hint="default" w:ascii="Times New Roman" w:hAnsi="Times New Roman" w:eastAsia="方正楷体_GBK" w:cs="方正楷体_GBK"/>
          <w:b w:val="0"/>
          <w:bCs/>
          <w:color w:val="auto"/>
          <w:sz w:val="32"/>
          <w:szCs w:val="32"/>
          <w:shd w:val="clear" w:color="auto" w:fill="auto"/>
        </w:rPr>
      </w:pPr>
      <w:r>
        <w:rPr>
          <w:rStyle w:val="11"/>
          <w:rFonts w:hint="default" w:ascii="Times New Roman" w:hAnsi="Times New Roman" w:eastAsia="方正楷体_GBK" w:cs="方正楷体_GBK"/>
          <w:b w:val="0"/>
          <w:bCs/>
          <w:color w:val="auto"/>
          <w:sz w:val="32"/>
          <w:szCs w:val="32"/>
          <w:shd w:val="clear" w:color="auto" w:fill="auto"/>
        </w:rPr>
        <w:t>（二）财政拨款收入支出决算总体情况说明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2024年度财政拨款收、支总计均为459.87万元。与2023年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（三）一般公共预算财政拨款收入支出决算情况说明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社会保障和就业支出与卫生健康支出收入增加。</w:t>
      </w:r>
      <w:r>
        <w:rPr>
          <w:rFonts w:hint="default" w:ascii="Times New Roman" w:hAnsi="Times New Roman" w:eastAsia="方正仿宋_GBK" w:cs="Times New Roman"/>
          <w:b w:val="0"/>
          <w:bCs/>
          <w:color w:val="auto"/>
          <w:sz w:val="32"/>
          <w:szCs w:val="32"/>
          <w:shd w:val="clear" w:color="auto" w:fill="FFFFFF"/>
        </w:rPr>
        <w:t>较年初预算数增加6.30万元，增长1.4%。主要原因是</w:t>
      </w:r>
      <w:r>
        <w:rPr>
          <w:rFonts w:hint="default" w:ascii="Times New Roman" w:hAnsi="Times New Roman" w:eastAsia="方正仿宋_GBK" w:cs="Times New Roman"/>
          <w:b w:val="0"/>
          <w:bCs/>
          <w:color w:val="auto"/>
          <w:sz w:val="32"/>
          <w:szCs w:val="32"/>
          <w:shd w:val="clear" w:color="auto" w:fill="FFFFFF"/>
          <w:lang w:eastAsia="zh-CN"/>
        </w:rPr>
        <w:t>在职人员薪资调整。</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color w:val="auto"/>
          <w:sz w:val="32"/>
          <w:szCs w:val="32"/>
          <w:shd w:val="clear" w:color="auto" w:fill="FFFFFF"/>
        </w:rPr>
        <w:t>2024年度一般公共预算财政拨款支出459.87万元，与2023年度相比，增加35.59万元，增长8.4%。主要原因是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较年初预算数增加6.30万元，增长1.4%。主要原因是</w:t>
      </w:r>
      <w:r>
        <w:rPr>
          <w:rFonts w:hint="default" w:ascii="Times New Roman" w:hAnsi="Times New Roman" w:eastAsia="方正仿宋_GBK" w:cs="Times New Roman"/>
          <w:color w:val="auto"/>
          <w:sz w:val="32"/>
          <w:szCs w:val="32"/>
          <w:shd w:val="clear" w:color="auto" w:fill="FFFFFF"/>
          <w:lang w:eastAsia="zh-CN"/>
        </w:rPr>
        <w:t>在职人员薪资调整。</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就业支出61.99万元，占13.5%，较年初预算数无增减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）卫生健康支出364.39万元，占79.2%，较年初预算数增加6.30万元，增长1.8%，主要原因是</w:t>
      </w:r>
      <w:r>
        <w:rPr>
          <w:rFonts w:hint="default" w:ascii="Times New Roman" w:hAnsi="Times New Roman" w:eastAsia="方正仿宋_GBK" w:cs="Times New Roman"/>
          <w:color w:val="auto"/>
          <w:sz w:val="32"/>
          <w:szCs w:val="32"/>
          <w:shd w:val="clear" w:color="auto" w:fill="FFFFFF"/>
          <w:lang w:eastAsia="zh-CN"/>
        </w:rPr>
        <w:t>在职人员薪资调整。</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33.49万元，占7.3%，较年初预算数无增减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2024年度一般公共财政拨款基本支出459.87万元。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其中</w:t>
      </w:r>
      <w:r>
        <w:rPr>
          <w:rFonts w:hint="eastAsia"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FFFFFF"/>
        </w:rPr>
        <w:t>人员经费411.18万元，与2023年度相比，增加33.83万元，增长9.0%，主要原因是</w:t>
      </w:r>
      <w:r>
        <w:rPr>
          <w:rFonts w:hint="default" w:ascii="Times New Roman" w:hAnsi="Times New Roman" w:eastAsia="方正仿宋_GBK" w:cs="Times New Roman"/>
          <w:color w:val="auto"/>
          <w:sz w:val="32"/>
          <w:szCs w:val="32"/>
          <w:shd w:val="clear" w:color="auto" w:fill="FFFFFF"/>
          <w:lang w:eastAsia="zh-CN"/>
        </w:rPr>
        <w:t>在职人员社保缴费基数调整。</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kern w:val="0"/>
          <w:sz w:val="32"/>
          <w:szCs w:val="32"/>
          <w:shd w:val="clear" w:color="auto" w:fill="auto"/>
          <w:lang w:bidi="ar-SA"/>
        </w:rPr>
        <w:t>工资、津补贴、奖金、社会保险缴费、住房公积金等</w:t>
      </w:r>
      <w:r>
        <w:rPr>
          <w:rFonts w:hint="default" w:ascii="Times New Roman" w:hAnsi="Times New Roman" w:eastAsia="方正仿宋_GBK" w:cs="Times New Roman"/>
          <w:color w:val="auto"/>
          <w:sz w:val="32"/>
          <w:szCs w:val="32"/>
          <w:shd w:val="clear" w:color="auto" w:fill="auto"/>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公用经费48.69万元，与2023年度相比，增加1.76万元，增长3.8%，主要原因是</w:t>
      </w:r>
      <w:r>
        <w:rPr>
          <w:rFonts w:hint="default" w:ascii="Times New Roman" w:hAnsi="Times New Roman" w:eastAsia="方正仿宋_GBK" w:cs="Times New Roman"/>
          <w:color w:val="auto"/>
          <w:sz w:val="32"/>
          <w:szCs w:val="32"/>
          <w:lang w:val="en-US" w:eastAsia="zh-CN"/>
        </w:rPr>
        <w:t>市局会议增加以及</w:t>
      </w:r>
      <w:r>
        <w:rPr>
          <w:rFonts w:hint="eastAsia" w:ascii="Times New Roman" w:hAnsi="Times New Roman" w:eastAsia="方正仿宋_GBK" w:cs="Times New Roman"/>
          <w:color w:val="auto"/>
          <w:sz w:val="32"/>
          <w:szCs w:val="32"/>
          <w:lang w:val="en-US" w:eastAsia="zh-CN"/>
        </w:rPr>
        <w:t>自2024年起</w:t>
      </w:r>
      <w:r>
        <w:rPr>
          <w:rFonts w:hint="default" w:ascii="Times New Roman" w:hAnsi="Times New Roman" w:eastAsia="方正仿宋_GBK" w:cs="Times New Roman"/>
          <w:color w:val="auto"/>
          <w:sz w:val="32"/>
          <w:szCs w:val="32"/>
          <w:lang w:val="en-US" w:eastAsia="zh-CN"/>
        </w:rPr>
        <w:t>基金飞行检查费用由各单位自行承担</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shd w:val="clear" w:color="auto" w:fill="auto"/>
          <w:lang w:bidi="ar-SA"/>
        </w:rPr>
        <w:t>办公费、差旅费、邮电费、印刷费</w:t>
      </w:r>
      <w:r>
        <w:rPr>
          <w:rFonts w:hint="default" w:ascii="Times New Roman" w:hAnsi="Times New Roman" w:eastAsia="方正仿宋_GBK" w:cs="Times New Roman"/>
          <w:color w:val="auto"/>
          <w:kern w:val="0"/>
          <w:sz w:val="32"/>
          <w:szCs w:val="32"/>
          <w:shd w:val="clear" w:color="auto" w:fill="auto"/>
          <w:lang w:eastAsia="zh-CN" w:bidi="ar-SA"/>
        </w:rPr>
        <w:t>、物业管理费、公务接待费</w:t>
      </w:r>
      <w:r>
        <w:rPr>
          <w:rFonts w:hint="default" w:ascii="Times New Roman" w:hAnsi="Times New Roman" w:eastAsia="方正仿宋_GBK" w:cs="Times New Roman"/>
          <w:color w:val="auto"/>
          <w:kern w:val="0"/>
          <w:sz w:val="32"/>
          <w:szCs w:val="32"/>
          <w:shd w:val="clear" w:color="auto" w:fill="auto"/>
          <w:lang w:bidi="ar-SA"/>
        </w:rPr>
        <w:t>等</w:t>
      </w:r>
      <w:r>
        <w:rPr>
          <w:rFonts w:hint="default" w:ascii="Times New Roman" w:hAnsi="Times New Roman" w:eastAsia="方正仿宋_GBK" w:cs="Times New Roman"/>
          <w:color w:val="auto"/>
          <w:sz w:val="32"/>
          <w:szCs w:val="32"/>
          <w:shd w:val="clear" w:color="auto" w:fill="auto"/>
        </w:rPr>
        <w:t>。</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auto"/>
        </w:rPr>
      </w:pPr>
      <w:r>
        <w:rPr>
          <w:rStyle w:val="11"/>
          <w:rFonts w:hint="default" w:ascii="Times New Roman" w:hAnsi="Times New Roman" w:eastAsia="方正仿宋_GBK" w:cs="Times New Roman"/>
          <w:b w:val="0"/>
          <w:bCs/>
          <w:color w:val="auto"/>
          <w:sz w:val="32"/>
          <w:szCs w:val="32"/>
          <w:shd w:val="clear" w:color="auto" w:fill="auto"/>
        </w:rPr>
        <w:t>本单位202</w:t>
      </w:r>
      <w:r>
        <w:rPr>
          <w:rStyle w:val="11"/>
          <w:rFonts w:hint="default" w:ascii="Times New Roman" w:hAnsi="Times New Roman" w:eastAsia="方正仿宋_GBK" w:cs="Times New Roman"/>
          <w:b w:val="0"/>
          <w:bCs/>
          <w:color w:val="auto"/>
          <w:sz w:val="32"/>
          <w:szCs w:val="32"/>
          <w:shd w:val="clear" w:color="auto" w:fill="auto"/>
          <w:lang w:val="en-US" w:eastAsia="zh-CN"/>
        </w:rPr>
        <w:t>4</w:t>
      </w:r>
      <w:r>
        <w:rPr>
          <w:rStyle w:val="11"/>
          <w:rFonts w:hint="default" w:ascii="Times New Roman" w:hAnsi="Times New Roman" w:eastAsia="方正仿宋_GBK" w:cs="Times New Roman"/>
          <w:b w:val="0"/>
          <w:bCs/>
          <w:color w:val="auto"/>
          <w:sz w:val="32"/>
          <w:szCs w:val="32"/>
          <w:shd w:val="clear" w:color="auto" w:fill="auto"/>
        </w:rPr>
        <w:t>年度无政府性基金预算财政拨款收支。</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（六）国有资本经营预算财政拨款支出决算情况说明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val="0"/>
          <w:bCs/>
          <w:color w:val="auto"/>
          <w:sz w:val="32"/>
          <w:szCs w:val="32"/>
          <w:shd w:val="clear" w:color="auto" w:fill="auto"/>
        </w:rPr>
        <w:t>本单位202</w:t>
      </w:r>
      <w:r>
        <w:rPr>
          <w:rStyle w:val="11"/>
          <w:rFonts w:hint="default" w:ascii="Times New Roman" w:hAnsi="Times New Roman" w:eastAsia="方正仿宋_GBK" w:cs="Times New Roman"/>
          <w:b w:val="0"/>
          <w:bCs/>
          <w:color w:val="auto"/>
          <w:sz w:val="32"/>
          <w:szCs w:val="32"/>
          <w:shd w:val="clear" w:color="auto" w:fill="auto"/>
          <w:lang w:val="en-US" w:eastAsia="zh-CN"/>
        </w:rPr>
        <w:t>4</w:t>
      </w:r>
      <w:r>
        <w:rPr>
          <w:rStyle w:val="11"/>
          <w:rFonts w:hint="default" w:ascii="Times New Roman" w:hAnsi="Times New Roman" w:eastAsia="方正仿宋_GBK" w:cs="Times New Roman"/>
          <w:b w:val="0"/>
          <w:bCs/>
          <w:color w:val="auto"/>
          <w:sz w:val="32"/>
          <w:szCs w:val="32"/>
          <w:shd w:val="clear" w:color="auto" w:fill="auto"/>
        </w:rPr>
        <w:t>年度无国有资本经营预算财政拨款支出。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default" w:ascii="方正黑体_GBK" w:hAnsi="方正黑体_GBK" w:eastAsia="方正黑体_GBK" w:cs="方正黑体_GBK"/>
          <w:b w:val="0"/>
          <w:bCs/>
          <w:color w:val="auto"/>
          <w:sz w:val="32"/>
          <w:szCs w:val="32"/>
          <w:shd w:val="clear" w:color="auto" w:fill="FFFFFF"/>
          <w:lang w:eastAsia="zh-CN"/>
        </w:rPr>
        <w:t>三、财政拨款“三公”经费情况说明</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较上年支出数减少0.80万元，下降100.0%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公务接待费0.00万元，费用支出较年初预算数无增减，较上年支出数减少0.80万元，下降100.0%，主要原因</w:t>
      </w:r>
      <w:r>
        <w:rPr>
          <w:rFonts w:hint="eastAsia" w:ascii="Times New Roman" w:hAnsi="Times New Roman" w:eastAsia="方正仿宋_GBK" w:cs="Times New Roman"/>
          <w:color w:val="auto"/>
          <w:sz w:val="32"/>
          <w:szCs w:val="32"/>
          <w:shd w:val="clear" w:color="auto" w:fill="FFFFFF"/>
          <w:lang w:eastAsia="zh-CN"/>
        </w:rPr>
        <w:t>是本年度无公务接待。</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（三）“三公”经费实物量情况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default" w:ascii="方正黑体_GBK" w:hAnsi="方正黑体_GBK" w:eastAsia="方正黑体_GBK" w:cs="方正黑体_GBK"/>
          <w:b w:val="0"/>
          <w:bCs/>
          <w:color w:val="auto"/>
          <w:sz w:val="32"/>
          <w:szCs w:val="32"/>
          <w:shd w:val="clear" w:color="auto" w:fill="FFFFFF"/>
          <w:lang w:eastAsia="zh-CN"/>
        </w:rPr>
        <w:t>四、其他需要说明的事项</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（一）财政拨款会议费、培训费和差旅费情况说明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本年度会议费支出0.00万元，与2023年度相比，无增减，本年度培训费支出0.00万元，与2023年度相比，减少0.47万元，下降100.0%，主要原因是</w:t>
      </w:r>
      <w:r>
        <w:rPr>
          <w:rFonts w:hint="default" w:ascii="Times New Roman" w:hAnsi="Times New Roman" w:eastAsia="方正仿宋_GBK" w:cs="Times New Roman"/>
          <w:color w:val="auto"/>
          <w:sz w:val="32"/>
          <w:szCs w:val="32"/>
          <w:shd w:val="clear" w:color="auto" w:fill="FFFFFF"/>
          <w:lang w:eastAsia="zh-CN"/>
        </w:rPr>
        <w:t>本年度未举办培训。</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本年度差旅费支出1.78</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与2023年度相比，增加1.64万元，增长1171.4%，主要原因是</w:t>
      </w:r>
      <w:r>
        <w:rPr>
          <w:rFonts w:hint="default" w:ascii="Times New Roman" w:hAnsi="Times New Roman" w:eastAsia="方正仿宋_GBK" w:cs="Times New Roman"/>
          <w:color w:val="auto"/>
          <w:sz w:val="32"/>
          <w:szCs w:val="32"/>
          <w:lang w:val="en-US" w:eastAsia="zh-CN"/>
        </w:rPr>
        <w:t>市局会议增加以及基金飞行检查费用由各单位自行承担</w:t>
      </w:r>
      <w:r>
        <w:rPr>
          <w:rFonts w:hint="default" w:ascii="Times New Roman" w:hAnsi="Times New Roman" w:eastAsia="方正仿宋_GBK" w:cs="Times New Roman"/>
          <w:color w:val="auto"/>
          <w:sz w:val="32"/>
          <w:szCs w:val="32"/>
          <w:highlight w:val="none"/>
        </w:rPr>
        <w:t>。</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（二）机关运行经费情况说明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机关运行经费支出48.69万元，机关运行经费主要用于开支</w:t>
      </w:r>
      <w:r>
        <w:rPr>
          <w:rFonts w:hint="default" w:ascii="Times New Roman" w:hAnsi="Times New Roman" w:eastAsia="方正仿宋_GBK" w:cs="Times New Roman"/>
          <w:color w:val="auto"/>
          <w:kern w:val="0"/>
          <w:sz w:val="32"/>
          <w:szCs w:val="32"/>
          <w:shd w:val="clear" w:color="auto" w:fill="auto"/>
          <w:lang w:eastAsia="zh-CN" w:bidi="ar-SA"/>
        </w:rPr>
        <w:t>办公费、物业管理费、邮电费、维修（护）费、培训费、工会经费、公务接待费等</w:t>
      </w:r>
      <w:r>
        <w:rPr>
          <w:rFonts w:hint="default" w:ascii="Times New Roman" w:hAnsi="Times New Roman" w:eastAsia="方正仿宋_GBK" w:cs="Times New Roman"/>
          <w:color w:val="auto"/>
          <w:kern w:val="0"/>
          <w:sz w:val="32"/>
          <w:szCs w:val="32"/>
          <w:shd w:val="clear" w:color="auto" w:fill="auto"/>
          <w:lang w:bidi="ar-SA"/>
        </w:rPr>
        <w:t>。</w:t>
      </w:r>
      <w:r>
        <w:rPr>
          <w:rFonts w:hint="default" w:ascii="Times New Roman" w:hAnsi="Times New Roman" w:eastAsia="方正仿宋_GBK" w:cs="Times New Roman"/>
          <w:color w:val="auto"/>
          <w:sz w:val="32"/>
          <w:szCs w:val="32"/>
          <w:shd w:val="clear" w:color="auto" w:fill="FFFFFF"/>
        </w:rPr>
        <w:t>机关运行经费较上年支出数增加1.76万元，增长3.8%，主要原因是</w:t>
      </w:r>
      <w:r>
        <w:rPr>
          <w:rFonts w:hint="default" w:ascii="Times New Roman" w:hAnsi="Times New Roman" w:eastAsia="方正仿宋_GBK" w:cs="Times New Roman"/>
          <w:color w:val="auto"/>
          <w:sz w:val="32"/>
          <w:szCs w:val="32"/>
          <w:lang w:val="en-US" w:eastAsia="zh-CN"/>
        </w:rPr>
        <w:t>市局会议增加以及基金飞行检查费用自2024年起由各单位自行承担</w:t>
      </w:r>
      <w:r>
        <w:rPr>
          <w:rFonts w:hint="default" w:ascii="Times New Roman" w:hAnsi="Times New Roman" w:eastAsia="方正仿宋_GBK" w:cs="Times New Roman"/>
          <w:color w:val="auto"/>
          <w:sz w:val="32"/>
          <w:szCs w:val="32"/>
          <w:highlight w:val="none"/>
        </w:rPr>
        <w:t>。</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（四）政府采购支出情况说明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年度我单位未发生政府采购事项，无相关经费支出。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default" w:ascii="方正黑体_GBK" w:hAnsi="方正黑体_GBK" w:eastAsia="方正黑体_GBK" w:cs="方正黑体_GBK"/>
          <w:b w:val="0"/>
          <w:bCs/>
          <w:color w:val="auto"/>
          <w:sz w:val="32"/>
          <w:szCs w:val="32"/>
          <w:shd w:val="clear" w:color="auto" w:fill="FFFFFF"/>
          <w:lang w:eastAsia="zh-CN"/>
        </w:rPr>
        <w:t>五、预算</w:t>
      </w:r>
      <w:r>
        <w:rPr>
          <w:rStyle w:val="11"/>
          <w:rFonts w:hint="default" w:ascii="方正黑体_GBK" w:hAnsi="方正黑体_GBK" w:eastAsia="方正黑体_GBK" w:cs="方正黑体_GBK"/>
          <w:b w:val="0"/>
          <w:bCs/>
          <w:color w:val="auto"/>
          <w:sz w:val="32"/>
          <w:szCs w:val="32"/>
          <w:shd w:val="clear" w:color="auto" w:fill="FFFFFF"/>
          <w:lang w:val="en-US" w:eastAsia="zh-CN"/>
        </w:rPr>
        <w:t>绩效管理情况说明</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（一）单位自评情况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本单位隶属秀山土家族苗族自治县医疗保障局，所有项目均在本级实施，故无需开展自评。</w:t>
      </w:r>
    </w:p>
    <w:p>
      <w:pPr>
        <w:pStyle w:val="14"/>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1"/>
          <w:rFonts w:hint="default" w:ascii="Times New Roman" w:hAnsi="Times New Roman" w:eastAsia="方正楷体_GBK" w:cs="方正楷体_GBK"/>
          <w:b w:val="0"/>
          <w:bCs/>
          <w:color w:val="auto"/>
          <w:sz w:val="32"/>
          <w:szCs w:val="32"/>
          <w:shd w:val="clear" w:color="auto" w:fill="auto"/>
          <w:lang w:val="en-US" w:eastAsia="zh-CN" w:bidi="ar-SA"/>
        </w:rPr>
      </w:pPr>
      <w:r>
        <w:rPr>
          <w:rStyle w:val="11"/>
          <w:rFonts w:hint="default" w:ascii="Times New Roman" w:hAnsi="Times New Roman" w:eastAsia="方正楷体_GBK" w:cs="方正楷体_GBK"/>
          <w:b w:val="0"/>
          <w:bCs/>
          <w:color w:val="auto"/>
          <w:sz w:val="32"/>
          <w:szCs w:val="32"/>
          <w:shd w:val="clear" w:color="auto" w:fill="auto"/>
          <w:lang w:val="en-US" w:eastAsia="zh-CN" w:bidi="ar-SA"/>
        </w:rPr>
        <w:t>（二）单位绩效评价情况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我单位未组织开展绩效评价。</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default" w:ascii="方正黑体_GBK" w:hAnsi="方正黑体_GBK" w:eastAsia="方正黑体_GBK" w:cs="方正黑体_GBK"/>
          <w:b w:val="0"/>
          <w:bCs/>
          <w:color w:val="auto"/>
          <w:sz w:val="32"/>
          <w:szCs w:val="32"/>
          <w:shd w:val="clear" w:color="auto" w:fill="FFFFFF"/>
          <w:lang w:eastAsia="zh-CN"/>
        </w:rPr>
        <w:t>六、专业名词解释</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eastAsia" w:ascii="方正楷体_GBK" w:hAnsi="方正楷体_GBK" w:eastAsia="方正楷体_GBK" w:cs="方正楷体_GBK"/>
          <w:b w:val="0"/>
          <w:bCs/>
          <w:color w:val="auto"/>
          <w:sz w:val="32"/>
          <w:szCs w:val="32"/>
          <w:shd w:val="clear" w:color="auto" w:fill="auto"/>
          <w:lang w:val="en-US" w:eastAsia="zh-CN" w:bidi="ar-SA"/>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（五）使用非财政拨款结余（含专用结余）：</w:t>
      </w:r>
      <w:r>
        <w:rPr>
          <w:rFonts w:hint="default" w:ascii="Times New Roman" w:hAnsi="Times New Roman" w:eastAsia="方正仿宋_GBK" w:cs="Times New Roman"/>
          <w:color w:val="auto"/>
          <w:sz w:val="32"/>
          <w:szCs w:val="32"/>
          <w:shd w:val="clear" w:color="auto" w:fill="FFFFFF"/>
        </w:rPr>
        <w:t>指</w:t>
      </w:r>
      <w:r>
        <w:rPr>
          <w:rFonts w:hint="default" w:ascii="Times New Roman" w:hAnsi="Times New Roman" w:eastAsia="方正仿宋_GBK" w:cs="Times New Roman"/>
          <w:color w:val="auto"/>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4"/>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Style w:val="11"/>
          <w:rFonts w:hint="default" w:ascii="Times New Roman" w:hAnsi="Times New Roman" w:eastAsia="方正仿宋_GBK" w:cs="Times New Roman"/>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决算公开信息反馈和联系方式：</w:t>
      </w:r>
      <w:r>
        <w:rPr>
          <w:rFonts w:hint="default" w:ascii="Times New Roman" w:hAnsi="Times New Roman" w:eastAsia="方正仿宋_GBK" w:cs="Times New Roman"/>
          <w:color w:val="auto"/>
          <w:sz w:val="32"/>
          <w:szCs w:val="32"/>
          <w:shd w:val="clear" w:color="auto" w:fill="FFFFFF"/>
          <w:lang w:eastAsia="zh-CN"/>
        </w:rPr>
        <w:t>陈聪</w:t>
      </w:r>
      <w:r>
        <w:rPr>
          <w:rFonts w:hint="default" w:ascii="Times New Roman" w:hAnsi="Times New Roman" w:eastAsia="方正仿宋_GBK" w:cs="Times New Roman"/>
          <w:color w:val="auto"/>
          <w:sz w:val="32"/>
          <w:szCs w:val="32"/>
          <w:shd w:val="clear" w:color="auto" w:fill="FFFFFF"/>
          <w:lang w:val="en-US" w:eastAsia="zh-CN"/>
        </w:rPr>
        <w:t xml:space="preserve"> 023-76668145。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秀山土家族苗族自治县医疗保障事务中心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4939"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067"/>
      </w:tblGrid>
      <w:tr>
        <w:tblPrEx>
          <w:tblLayout w:type="fixed"/>
          <w:tblCellMar>
            <w:top w:w="0" w:type="dxa"/>
            <w:left w:w="0" w:type="dxa"/>
            <w:bottom w:w="0" w:type="dxa"/>
            <w:right w:w="0" w:type="dxa"/>
          </w:tblCellMar>
        </w:tblPrEx>
        <w:trPr>
          <w:trHeight w:val="641" w:hRule="atLeast"/>
        </w:trPr>
        <w:tc>
          <w:tcPr>
            <w:tcW w:w="1493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秀山土家族苗族自治县医疗保障事务中心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2"/>
        <w:tblW w:w="14857"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471"/>
      </w:tblGrid>
      <w:tr>
        <w:tblPrEx>
          <w:tblLayout w:type="fixed"/>
          <w:tblCellMar>
            <w:top w:w="0" w:type="dxa"/>
            <w:left w:w="0" w:type="dxa"/>
            <w:bottom w:w="0" w:type="dxa"/>
            <w:right w:w="0" w:type="dxa"/>
          </w:tblCellMar>
        </w:tblPrEx>
        <w:trPr>
          <w:trHeight w:val="654" w:hRule="atLeast"/>
        </w:trPr>
        <w:tc>
          <w:tcPr>
            <w:tcW w:w="1485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秀山土家族苗族自治县医疗保障事务中心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4939" w:type="dxa"/>
        <w:tblInd w:w="0" w:type="dxa"/>
        <w:tblLayout w:type="fixed"/>
        <w:tblCellMar>
          <w:top w:w="0" w:type="dxa"/>
          <w:left w:w="0" w:type="dxa"/>
          <w:bottom w:w="0" w:type="dxa"/>
          <w:right w:w="0" w:type="dxa"/>
        </w:tblCellMar>
      </w:tblPr>
      <w:tblGrid>
        <w:gridCol w:w="1486"/>
        <w:gridCol w:w="3895"/>
        <w:gridCol w:w="3306"/>
        <w:gridCol w:w="3300"/>
        <w:gridCol w:w="2952"/>
      </w:tblGrid>
      <w:tr>
        <w:tblPrEx>
          <w:tblLayout w:type="fixed"/>
          <w:tblCellMar>
            <w:top w:w="0" w:type="dxa"/>
            <w:left w:w="0" w:type="dxa"/>
            <w:bottom w:w="0" w:type="dxa"/>
            <w:right w:w="0" w:type="dxa"/>
          </w:tblCellMar>
        </w:tblPrEx>
        <w:trPr>
          <w:trHeight w:val="510" w:hRule="atLeast"/>
        </w:trPr>
        <w:tc>
          <w:tcPr>
            <w:tcW w:w="1493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5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4939"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517"/>
      </w:tblGrid>
      <w:tr>
        <w:tblPrEx>
          <w:tblLayout w:type="fixed"/>
          <w:tblCellMar>
            <w:top w:w="0" w:type="dxa"/>
            <w:left w:w="0" w:type="dxa"/>
            <w:bottom w:w="0" w:type="dxa"/>
            <w:right w:w="0" w:type="dxa"/>
          </w:tblCellMar>
        </w:tblPrEx>
        <w:trPr>
          <w:trHeight w:val="90" w:hRule="atLeast"/>
        </w:trPr>
        <w:tc>
          <w:tcPr>
            <w:tcW w:w="14939"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1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1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23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411.18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496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477"/>
      </w:tblGrid>
      <w:tr>
        <w:tblPrEx>
          <w:tblLayout w:type="fixed"/>
          <w:tblCellMar>
            <w:top w:w="0" w:type="dxa"/>
            <w:left w:w="0" w:type="dxa"/>
            <w:bottom w:w="0" w:type="dxa"/>
            <w:right w:w="0" w:type="dxa"/>
          </w:tblCellMar>
        </w:tblPrEx>
        <w:trPr>
          <w:trHeight w:val="644" w:hRule="atLeast"/>
        </w:trPr>
        <w:tc>
          <w:tcPr>
            <w:tcW w:w="1496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4953" w:type="dxa"/>
        <w:tblInd w:w="0" w:type="dxa"/>
        <w:tblLayout w:type="fixed"/>
        <w:tblCellMar>
          <w:top w:w="0" w:type="dxa"/>
          <w:left w:w="0" w:type="dxa"/>
          <w:bottom w:w="0" w:type="dxa"/>
          <w:right w:w="0" w:type="dxa"/>
        </w:tblCellMar>
      </w:tblPr>
      <w:tblGrid>
        <w:gridCol w:w="2001"/>
        <w:gridCol w:w="2917"/>
        <w:gridCol w:w="3264"/>
        <w:gridCol w:w="199"/>
        <w:gridCol w:w="3463"/>
        <w:gridCol w:w="77"/>
        <w:gridCol w:w="3032"/>
      </w:tblGrid>
      <w:tr>
        <w:tblPrEx>
          <w:tblLayout w:type="fixed"/>
          <w:tblCellMar>
            <w:top w:w="0" w:type="dxa"/>
            <w:left w:w="0" w:type="dxa"/>
            <w:bottom w:w="0" w:type="dxa"/>
            <w:right w:w="0" w:type="dxa"/>
          </w:tblCellMar>
        </w:tblPrEx>
        <w:trPr>
          <w:trHeight w:val="650" w:hRule="atLeast"/>
        </w:trPr>
        <w:tc>
          <w:tcPr>
            <w:tcW w:w="14953"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3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3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0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0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0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秀山土家族苗族自治县医疗保障事务中心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961DCA"/>
    <w:rsid w:val="09B1218B"/>
    <w:rsid w:val="0A3317EA"/>
    <w:rsid w:val="0A5C4B69"/>
    <w:rsid w:val="0A86124A"/>
    <w:rsid w:val="0AB54CC0"/>
    <w:rsid w:val="0B44679A"/>
    <w:rsid w:val="0B9335CE"/>
    <w:rsid w:val="0BF2311A"/>
    <w:rsid w:val="0C7927C4"/>
    <w:rsid w:val="0C9B098C"/>
    <w:rsid w:val="0D673E11"/>
    <w:rsid w:val="0DDA54E4"/>
    <w:rsid w:val="0E3A5F83"/>
    <w:rsid w:val="0F836721"/>
    <w:rsid w:val="0FA25D96"/>
    <w:rsid w:val="0FBD3C60"/>
    <w:rsid w:val="10531C8B"/>
    <w:rsid w:val="107B59E5"/>
    <w:rsid w:val="10C57F2B"/>
    <w:rsid w:val="10EC0126"/>
    <w:rsid w:val="10F70B9A"/>
    <w:rsid w:val="111445C7"/>
    <w:rsid w:val="114278C6"/>
    <w:rsid w:val="1158083A"/>
    <w:rsid w:val="11643A4B"/>
    <w:rsid w:val="11AD7EE9"/>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6C4359"/>
    <w:rsid w:val="1B6F15B6"/>
    <w:rsid w:val="1BAA2EDC"/>
    <w:rsid w:val="1C2B7B75"/>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15B28"/>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0C27C07"/>
    <w:rsid w:val="315F0B22"/>
    <w:rsid w:val="31D84415"/>
    <w:rsid w:val="31F34372"/>
    <w:rsid w:val="32285F6F"/>
    <w:rsid w:val="32770556"/>
    <w:rsid w:val="329C0913"/>
    <w:rsid w:val="32AA0460"/>
    <w:rsid w:val="3337290D"/>
    <w:rsid w:val="33E31118"/>
    <w:rsid w:val="33EF7674"/>
    <w:rsid w:val="342D7BC6"/>
    <w:rsid w:val="349E6F78"/>
    <w:rsid w:val="352930DB"/>
    <w:rsid w:val="35573069"/>
    <w:rsid w:val="355F6038"/>
    <w:rsid w:val="358C217E"/>
    <w:rsid w:val="368922EA"/>
    <w:rsid w:val="36C9128A"/>
    <w:rsid w:val="370C285D"/>
    <w:rsid w:val="37841E99"/>
    <w:rsid w:val="37BF1123"/>
    <w:rsid w:val="383C3F15"/>
    <w:rsid w:val="38BE4696"/>
    <w:rsid w:val="3939115E"/>
    <w:rsid w:val="39703B19"/>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087711"/>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860DC"/>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1576B5"/>
    <w:rsid w:val="4B7951CB"/>
    <w:rsid w:val="4B7C315C"/>
    <w:rsid w:val="4C9316A8"/>
    <w:rsid w:val="4D1F53CA"/>
    <w:rsid w:val="4DAC4ACA"/>
    <w:rsid w:val="4DBE01D2"/>
    <w:rsid w:val="4F0C6BA3"/>
    <w:rsid w:val="4F186D58"/>
    <w:rsid w:val="506B25F7"/>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4D0D9A"/>
    <w:rsid w:val="56530F5D"/>
    <w:rsid w:val="567700D3"/>
    <w:rsid w:val="569D5729"/>
    <w:rsid w:val="569E5A73"/>
    <w:rsid w:val="56FF7E9E"/>
    <w:rsid w:val="578867FC"/>
    <w:rsid w:val="58280628"/>
    <w:rsid w:val="5842572D"/>
    <w:rsid w:val="5A3B59D6"/>
    <w:rsid w:val="5AD134D8"/>
    <w:rsid w:val="5BD27D0A"/>
    <w:rsid w:val="5BF41F67"/>
    <w:rsid w:val="5C263CE4"/>
    <w:rsid w:val="5C5D2777"/>
    <w:rsid w:val="5CF66BF3"/>
    <w:rsid w:val="5D290C69"/>
    <w:rsid w:val="5DA80C2C"/>
    <w:rsid w:val="5DFA7591"/>
    <w:rsid w:val="5F2D4A41"/>
    <w:rsid w:val="60C74F6C"/>
    <w:rsid w:val="61015958"/>
    <w:rsid w:val="61025A59"/>
    <w:rsid w:val="613D5BBC"/>
    <w:rsid w:val="61536C39"/>
    <w:rsid w:val="61894431"/>
    <w:rsid w:val="61BA462A"/>
    <w:rsid w:val="627E6CEC"/>
    <w:rsid w:val="62944DD7"/>
    <w:rsid w:val="6319381F"/>
    <w:rsid w:val="63C25DC5"/>
    <w:rsid w:val="63C62057"/>
    <w:rsid w:val="64571EF5"/>
    <w:rsid w:val="64FB113D"/>
    <w:rsid w:val="656152C6"/>
    <w:rsid w:val="6587477F"/>
    <w:rsid w:val="658C3A08"/>
    <w:rsid w:val="658E26D2"/>
    <w:rsid w:val="65C031CA"/>
    <w:rsid w:val="65CE6852"/>
    <w:rsid w:val="66267C04"/>
    <w:rsid w:val="663F505A"/>
    <w:rsid w:val="66AF5D7C"/>
    <w:rsid w:val="66EE5541"/>
    <w:rsid w:val="67924660"/>
    <w:rsid w:val="68407834"/>
    <w:rsid w:val="6883293E"/>
    <w:rsid w:val="688412AD"/>
    <w:rsid w:val="68EB1B71"/>
    <w:rsid w:val="696C0310"/>
    <w:rsid w:val="6A4C63E2"/>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A790DF1"/>
    <w:rsid w:val="7B420052"/>
    <w:rsid w:val="7B686F5B"/>
    <w:rsid w:val="7BD06A28"/>
    <w:rsid w:val="7C3A7C0B"/>
    <w:rsid w:val="7C5248E4"/>
    <w:rsid w:val="7C566698"/>
    <w:rsid w:val="7C5866A3"/>
    <w:rsid w:val="7C8F0860"/>
    <w:rsid w:val="7D7406BB"/>
    <w:rsid w:val="7DE94331"/>
    <w:rsid w:val="7EED4BB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Date"/>
    <w:basedOn w:val="1"/>
    <w:next w:val="1"/>
    <w:qFormat/>
    <w:uiPriority w:val="99"/>
    <w:pPr>
      <w:ind w:left="100" w:leftChars="25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cp:lastPrinted>2025-09-26T04:32:00Z</cp:lastPrinted>
  <dcterms:modified xsi:type="dcterms:W3CDTF">2025-10-14T09:16:17Z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