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秀山土家族苗族自治县住房和城乡建设管理综合执法大队</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1.负责宣传贯彻执行住房和城乡建设法律、法规、规章和方针政策。</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2.受主管部门委托，负责对辖区内房屋建筑和市政基础设施工程施工现场的安全监督管理。</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3.承担建设工程安全业务指导、开展安全生产大检查和教育培训工作。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38" w:leftChars="266" w:firstLine="0" w:firstLineChars="0"/>
        <w:jc w:val="both"/>
        <w:textAlignment w:val="auto"/>
        <w:rPr>
          <w:rFonts w:hint="default" w:ascii="楷体" w:hAnsi="楷体" w:eastAsia="楷体" w:cs="楷体"/>
          <w:b w:val="0"/>
          <w:bCs/>
          <w:sz w:val="32"/>
          <w:szCs w:val="32"/>
        </w:rPr>
      </w:pPr>
      <w:r>
        <w:rPr>
          <w:rFonts w:ascii="Times New Roman" w:hAnsi="Times New Roman" w:eastAsia="方正仿宋_GBK"/>
          <w:b w:val="0"/>
          <w:bCs/>
          <w:color w:val="333333"/>
          <w:sz w:val="32"/>
          <w:szCs w:val="32"/>
          <w:shd w:val="clear" w:color="auto" w:fill="FFFFFF"/>
        </w:rPr>
        <w:t>4.依法开展县住房和城乡建设领域综合行政执法工作。</w:t>
      </w:r>
      <w:r>
        <w:rPr>
          <w:rStyle w:val="8"/>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outlineLvl w:val="9"/>
        <w:rPr>
          <w:rFonts w:hint="default" w:ascii="Times New Roman" w:hAnsi="Times New Roman" w:eastAsia="方正仿宋_GBK"/>
          <w:b w:val="0"/>
          <w:bCs/>
          <w:color w:val="333333"/>
          <w:sz w:val="32"/>
          <w:szCs w:val="32"/>
          <w:shd w:val="clear" w:color="auto" w:fill="FFFFFF"/>
        </w:rPr>
      </w:pPr>
      <w:r>
        <w:rPr>
          <w:rFonts w:ascii="Times New Roman" w:hAnsi="Times New Roman" w:eastAsia="方正仿宋_GBK"/>
          <w:b w:val="0"/>
          <w:bCs/>
          <w:color w:val="333333"/>
          <w:sz w:val="32"/>
          <w:szCs w:val="32"/>
          <w:shd w:val="clear" w:color="auto" w:fill="FFFFFF"/>
        </w:rPr>
        <w:t>秀山土家族苗族自治县住房和城乡建设管理综合执法大队为县住房城乡建委管理的公益一类副科级事业单位。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FF0000"/>
          <w:sz w:val="32"/>
          <w:szCs w:val="32"/>
          <w:shd w:val="clear" w:color="auto" w:fill="FFFFFF"/>
          <w:lang w:val="en-US" w:eastAsia="zh-CN"/>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年度收</w:t>
      </w:r>
      <w:r>
        <w:rPr>
          <w:rFonts w:hint="eastAsia" w:ascii="方正仿宋_GBK" w:hAnsi="方正仿宋_GBK" w:eastAsia="方正仿宋_GBK" w:cs="方正仿宋_GBK"/>
          <w:b w:val="0"/>
          <w:bCs/>
          <w:sz w:val="32"/>
          <w:szCs w:val="32"/>
          <w:shd w:val="clear" w:color="auto" w:fill="FFFFFF"/>
          <w:lang w:eastAsia="zh-CN"/>
        </w:rPr>
        <w:t>、支</w:t>
      </w:r>
      <w:r>
        <w:rPr>
          <w:rFonts w:ascii="方正仿宋_GBK" w:hAnsi="方正仿宋_GBK" w:eastAsia="方正仿宋_GBK" w:cs="方正仿宋_GBK"/>
          <w:b w:val="0"/>
          <w:bCs/>
          <w:sz w:val="32"/>
          <w:szCs w:val="32"/>
          <w:shd w:val="clear" w:color="auto" w:fill="FFFFFF"/>
        </w:rPr>
        <w:t>总计</w:t>
      </w:r>
      <w:r>
        <w:rPr>
          <w:rFonts w:hint="eastAsia" w:ascii="方正仿宋_GBK" w:hAnsi="方正仿宋_GBK" w:eastAsia="方正仿宋_GBK" w:cs="方正仿宋_GBK"/>
          <w:b w:val="0"/>
          <w:bCs/>
          <w:sz w:val="32"/>
          <w:szCs w:val="32"/>
          <w:shd w:val="clear" w:color="auto" w:fill="FFFFFF"/>
          <w:lang w:eastAsia="zh-CN"/>
        </w:rPr>
        <w:t>均为</w:t>
      </w:r>
      <w:r>
        <w:rPr>
          <w:rFonts w:hint="default" w:ascii="Times New Roman" w:hAnsi="Times New Roman" w:eastAsia="方正仿宋_GBK"/>
          <w:b w:val="0"/>
          <w:bCs/>
          <w:sz w:val="32"/>
          <w:szCs w:val="32"/>
          <w:shd w:val="clear" w:color="auto" w:fill="FFFFFF"/>
        </w:rPr>
        <w:t>646.30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收、支与2023年度相比，增加72.33万元，增长12.6%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新增</w:t>
      </w:r>
      <w:r>
        <w:rPr>
          <w:rFonts w:hint="default" w:ascii="Times New Roman" w:hAnsi="Times New Roman" w:eastAsia="方正仿宋_GBK" w:cs="Times New Roman"/>
          <w:b w:val="0"/>
          <w:bCs/>
          <w:sz w:val="32"/>
          <w:szCs w:val="32"/>
          <w:shd w:val="clear" w:color="auto" w:fill="FFFFFF"/>
          <w:lang w:val="en-US" w:eastAsia="zh-CN"/>
        </w:rPr>
        <w:t>1</w:t>
      </w:r>
      <w:r>
        <w:rPr>
          <w:rFonts w:hint="eastAsia" w:ascii="方正仿宋_GBK" w:hAnsi="方正仿宋_GBK" w:eastAsia="方正仿宋_GBK" w:cs="方正仿宋_GBK"/>
          <w:b w:val="0"/>
          <w:bCs/>
          <w:sz w:val="32"/>
          <w:szCs w:val="32"/>
          <w:shd w:val="clear" w:color="auto" w:fill="FFFFFF"/>
          <w:lang w:val="en-US" w:eastAsia="zh-CN"/>
        </w:rPr>
        <w:t>名事业人员以及日常公用经费与其他下属单位共同使用。</w:t>
      </w:r>
    </w:p>
    <w:p>
      <w:pPr>
        <w:pStyle w:val="6"/>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1</w:t>
      </w:r>
      <w:r>
        <w:rPr>
          <w:rStyle w:val="8"/>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年度收入合计</w:t>
      </w:r>
      <w:r>
        <w:rPr>
          <w:rFonts w:hint="default" w:ascii="Times New Roman" w:hAnsi="Times New Roman" w:eastAsia="方正仿宋_GBK"/>
          <w:b w:val="0"/>
          <w:bCs/>
          <w:sz w:val="32"/>
          <w:szCs w:val="32"/>
          <w:shd w:val="clear" w:color="auto" w:fill="FFFFFF"/>
        </w:rPr>
        <w:t>646.30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与2023年度相比，增加72.33万元，增长12.6%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新增</w:t>
      </w:r>
      <w:r>
        <w:rPr>
          <w:rFonts w:hint="default" w:ascii="Times New Roman" w:hAnsi="Times New Roman" w:eastAsia="方正仿宋_GBK" w:cs="Times New Roman"/>
          <w:b w:val="0"/>
          <w:bCs/>
          <w:sz w:val="32"/>
          <w:szCs w:val="32"/>
          <w:shd w:val="clear" w:color="auto" w:fill="FFFFFF"/>
          <w:lang w:val="en-US" w:eastAsia="zh-CN"/>
        </w:rPr>
        <w:t>1</w:t>
      </w:r>
      <w:r>
        <w:rPr>
          <w:rFonts w:hint="eastAsia" w:ascii="方正仿宋_GBK" w:hAnsi="方正仿宋_GBK" w:eastAsia="方正仿宋_GBK" w:cs="方正仿宋_GBK"/>
          <w:b w:val="0"/>
          <w:bCs/>
          <w:sz w:val="32"/>
          <w:szCs w:val="32"/>
          <w:shd w:val="clear" w:color="auto" w:fill="FFFFFF"/>
          <w:lang w:val="en-US" w:eastAsia="zh-CN"/>
        </w:rPr>
        <w:t>名事业人员以及日常公用经费与其他下属单位共同使用。</w:t>
      </w:r>
      <w:r>
        <w:rPr>
          <w:rFonts w:ascii="方正仿宋_GBK" w:hAnsi="方正仿宋_GBK" w:eastAsia="方正仿宋_GBK" w:cs="方正仿宋_GBK"/>
          <w:b w:val="0"/>
          <w:bCs/>
          <w:sz w:val="32"/>
          <w:szCs w:val="32"/>
          <w:shd w:val="clear" w:color="auto" w:fill="FFFFFF"/>
        </w:rPr>
        <w:t>其中：财政拨款收入</w:t>
      </w:r>
      <w:r>
        <w:rPr>
          <w:rFonts w:hint="default" w:ascii="Times New Roman" w:hAnsi="Times New Roman" w:eastAsia="方正仿宋_GBK"/>
          <w:b w:val="0"/>
          <w:bCs/>
          <w:sz w:val="32"/>
          <w:szCs w:val="32"/>
          <w:shd w:val="clear" w:color="auto" w:fill="FFFFFF"/>
        </w:rPr>
        <w:t>646.30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；事业收入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；经营收入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；其他收入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。此外，</w:t>
      </w:r>
      <w:r>
        <w:rPr>
          <w:rFonts w:hint="eastAsia" w:ascii="方正仿宋_GBK" w:hAnsi="方正仿宋_GBK" w:eastAsia="方正仿宋_GBK" w:cs="方正仿宋_GBK"/>
          <w:b w:val="0"/>
          <w:bCs/>
          <w:sz w:val="32"/>
          <w:szCs w:val="32"/>
          <w:shd w:val="clear" w:color="auto" w:fill="FFFFFF"/>
        </w:rPr>
        <w:t>使用非财政拨款结余（含专用结余）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万元，年初结转和结余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2</w:t>
      </w:r>
      <w:r>
        <w:rPr>
          <w:rStyle w:val="8"/>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年度支出合计</w:t>
      </w:r>
      <w:r>
        <w:rPr>
          <w:rFonts w:hint="default" w:ascii="Times New Roman" w:hAnsi="Times New Roman" w:eastAsia="方正仿宋_GBK"/>
          <w:b w:val="0"/>
          <w:bCs/>
          <w:sz w:val="32"/>
          <w:szCs w:val="32"/>
          <w:shd w:val="clear" w:color="auto" w:fill="FFFFFF"/>
        </w:rPr>
        <w:t>646.30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与2023年度相比，增加72.33万元，增长12.6%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新增</w:t>
      </w:r>
      <w:r>
        <w:rPr>
          <w:rFonts w:hint="default" w:ascii="Times New Roman" w:hAnsi="Times New Roman" w:eastAsia="方正仿宋_GBK" w:cs="Times New Roman"/>
          <w:b w:val="0"/>
          <w:bCs/>
          <w:sz w:val="32"/>
          <w:szCs w:val="32"/>
          <w:shd w:val="clear" w:color="auto" w:fill="FFFFFF"/>
          <w:lang w:val="en-US" w:eastAsia="zh-CN"/>
        </w:rPr>
        <w:t>1</w:t>
      </w:r>
      <w:r>
        <w:rPr>
          <w:rFonts w:hint="eastAsia" w:ascii="方正仿宋_GBK" w:hAnsi="方正仿宋_GBK" w:eastAsia="方正仿宋_GBK" w:cs="方正仿宋_GBK"/>
          <w:b w:val="0"/>
          <w:bCs/>
          <w:sz w:val="32"/>
          <w:szCs w:val="32"/>
          <w:shd w:val="clear" w:color="auto" w:fill="FFFFFF"/>
          <w:lang w:val="en-US" w:eastAsia="zh-CN"/>
        </w:rPr>
        <w:t>名事业人员以及日常公用经费与其他下属单位共同使用。</w:t>
      </w:r>
      <w:r>
        <w:rPr>
          <w:rFonts w:ascii="方正仿宋_GBK" w:hAnsi="方正仿宋_GBK" w:eastAsia="方正仿宋_GBK" w:cs="方正仿宋_GBK"/>
          <w:b w:val="0"/>
          <w:bCs/>
          <w:sz w:val="32"/>
          <w:szCs w:val="32"/>
          <w:shd w:val="clear" w:color="auto" w:fill="FFFFFF"/>
        </w:rPr>
        <w:t>其中：基本支出</w:t>
      </w:r>
      <w:r>
        <w:rPr>
          <w:rFonts w:hint="default" w:ascii="Times New Roman" w:hAnsi="Times New Roman" w:eastAsia="方正仿宋_GBK"/>
          <w:b w:val="0"/>
          <w:bCs/>
          <w:sz w:val="32"/>
          <w:szCs w:val="32"/>
          <w:shd w:val="clear" w:color="auto" w:fill="FFFFFF"/>
        </w:rPr>
        <w:t>646.30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；项目支出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；经营支出</w:t>
      </w:r>
      <w:r>
        <w:rPr>
          <w:rFonts w:hint="default" w:ascii="Times New Roman" w:hAnsi="Times New Roman" w:eastAsia="方正仿宋_GBK"/>
          <w:b w:val="0"/>
          <w:bCs/>
          <w:sz w:val="32"/>
          <w:szCs w:val="32"/>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。此外，结余分配</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8"/>
          <w:rFonts w:hint="eastAsia" w:ascii="Times New Roman" w:hAnsi="Times New Roman" w:eastAsia="方正仿宋_GBK"/>
          <w:b w:val="0"/>
          <w:bCs/>
          <w:sz w:val="32"/>
          <w:szCs w:val="32"/>
          <w:shd w:val="clear" w:color="auto" w:fill="FFFFFF"/>
          <w:lang w:val="en-US" w:eastAsia="zh-CN"/>
        </w:rPr>
        <w:t>3</w:t>
      </w:r>
      <w:r>
        <w:rPr>
          <w:rStyle w:val="8"/>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年度年末结转和结余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方正仿宋_GBK" w:hAnsi="方正仿宋_GBK"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2024年度财政拨款收、支总计均为646.30万元。与2023年</w:t>
      </w:r>
      <w:r>
        <w:rPr>
          <w:rFonts w:hint="default" w:ascii="Times New Roman" w:hAnsi="Times New Roman" w:eastAsia="方正仿宋_GBK" w:cs="Times New Roman"/>
          <w:b w:val="0"/>
          <w:bCs/>
          <w:sz w:val="32"/>
          <w:szCs w:val="32"/>
          <w:shd w:val="clear" w:color="auto" w:fill="FFFFFF"/>
          <w:lang w:eastAsia="zh-CN"/>
        </w:rPr>
        <w:t>度</w:t>
      </w:r>
      <w:r>
        <w:rPr>
          <w:rFonts w:hint="default" w:ascii="Times New Roman" w:hAnsi="Times New Roman" w:eastAsia="方正仿宋_GBK" w:cs="Times New Roman"/>
          <w:b w:val="0"/>
          <w:bCs/>
          <w:sz w:val="32"/>
          <w:szCs w:val="32"/>
          <w:shd w:val="clear" w:color="auto" w:fill="FFFFFF"/>
        </w:rPr>
        <w:t>相比，财政拨款收、支总计各增加72.33万元，增长12.6%。主要原因是</w:t>
      </w:r>
      <w:r>
        <w:rPr>
          <w:rFonts w:hint="default" w:ascii="Times New Roman" w:hAnsi="Times New Roman" w:eastAsia="方正仿宋_GBK" w:cs="Times New Roman"/>
          <w:b w:val="0"/>
          <w:bCs/>
          <w:sz w:val="32"/>
          <w:szCs w:val="32"/>
          <w:shd w:val="clear" w:color="auto" w:fill="FFFFFF"/>
          <w:lang w:val="en-US" w:eastAsia="zh-CN"/>
        </w:rPr>
        <w:t>新增1名事业人员以及日常公用经费与其他下属单位共同使用。</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rPr>
      </w:pPr>
      <w:r>
        <w:rPr>
          <w:rStyle w:val="8"/>
          <w:rFonts w:hint="default" w:ascii="Times New Roman" w:hAnsi="Times New Roman" w:eastAsia="方正仿宋_GBK"/>
          <w:b w:val="0"/>
          <w:bCs/>
          <w:sz w:val="32"/>
          <w:szCs w:val="32"/>
          <w:shd w:val="clear" w:color="auto" w:fill="FFFFFF"/>
        </w:rPr>
        <w:t>1</w:t>
      </w:r>
      <w:r>
        <w:rPr>
          <w:rStyle w:val="8"/>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cs="Times New Roman"/>
          <w:b w:val="0"/>
          <w:bCs/>
          <w:sz w:val="32"/>
          <w:szCs w:val="32"/>
          <w:shd w:val="clear" w:color="auto" w:fill="FFFFFF"/>
        </w:rPr>
        <w:t>2024年度一般公共预算财政拨款收入646.30万元，与2023年度相比，增加72.33万元，增长12.6%。主要原因是</w:t>
      </w:r>
      <w:r>
        <w:rPr>
          <w:rFonts w:hint="default" w:ascii="Times New Roman" w:hAnsi="Times New Roman" w:eastAsia="方正仿宋_GBK" w:cs="Times New Roman"/>
          <w:b w:val="0"/>
          <w:bCs/>
          <w:sz w:val="32"/>
          <w:szCs w:val="32"/>
          <w:shd w:val="clear" w:color="auto" w:fill="FFFFFF"/>
          <w:lang w:val="en-US" w:eastAsia="zh-CN"/>
        </w:rPr>
        <w:t>新增1名事业人员以及日常公用经费与其他下属单位共同使用。</w:t>
      </w:r>
      <w:r>
        <w:rPr>
          <w:rFonts w:hint="default" w:ascii="Times New Roman" w:hAnsi="Times New Roman" w:eastAsia="方正仿宋_GBK" w:cs="Times New Roman"/>
          <w:b w:val="0"/>
          <w:bCs/>
          <w:sz w:val="32"/>
          <w:szCs w:val="32"/>
          <w:shd w:val="clear" w:color="auto" w:fill="FFFFFF"/>
        </w:rPr>
        <w:t>较年初预算数增加149.09万元，增长30.0%。主要原因是</w:t>
      </w:r>
      <w:r>
        <w:rPr>
          <w:rFonts w:hint="default" w:ascii="Times New Roman" w:hAnsi="Times New Roman" w:eastAsia="方正仿宋_GBK" w:cs="Times New Roman"/>
          <w:b w:val="0"/>
          <w:bCs/>
          <w:sz w:val="32"/>
          <w:szCs w:val="32"/>
          <w:shd w:val="clear" w:color="auto" w:fill="FFFFFF"/>
          <w:lang w:val="en-US" w:eastAsia="zh-CN"/>
        </w:rPr>
        <w:t>新增1名事业人员以及日常公用经费与其他下属单位共同使用。</w:t>
      </w:r>
      <w:r>
        <w:rPr>
          <w:rFonts w:hint="default" w:ascii="Times New Roman" w:hAnsi="Times New Roman" w:eastAsia="方正仿宋_GBK" w:cs="Times New Roman"/>
          <w:b w:val="0"/>
          <w:bCs/>
          <w:sz w:val="32"/>
          <w:szCs w:val="32"/>
          <w:shd w:val="clear" w:color="auto" w:fill="FFFFFF"/>
        </w:rPr>
        <w:t>此外，年初财政拨款结转和结余0.00万元。</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color w:val="FF0000"/>
          <w:sz w:val="32"/>
          <w:szCs w:val="32"/>
          <w:shd w:val="clear" w:color="auto" w:fill="FFFFFF"/>
          <w:lang w:val="en-US"/>
        </w:rPr>
      </w:pPr>
      <w:r>
        <w:rPr>
          <w:rStyle w:val="8"/>
          <w:rFonts w:hint="default" w:ascii="Times New Roman" w:hAnsi="Times New Roman" w:eastAsia="方正仿宋_GBK"/>
          <w:b w:val="0"/>
          <w:bCs/>
          <w:sz w:val="32"/>
          <w:szCs w:val="32"/>
          <w:shd w:val="clear" w:color="auto" w:fill="FFFFFF"/>
        </w:rPr>
        <w:t>2</w:t>
      </w:r>
      <w:r>
        <w:rPr>
          <w:rStyle w:val="8"/>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年度一般公共预算财政拨款支出</w:t>
      </w:r>
      <w:r>
        <w:rPr>
          <w:rFonts w:hint="default" w:ascii="Times New Roman" w:hAnsi="Times New Roman" w:eastAsia="方正仿宋_GBK"/>
          <w:b w:val="0"/>
          <w:bCs/>
          <w:sz w:val="32"/>
          <w:szCs w:val="32"/>
          <w:shd w:val="clear" w:color="auto" w:fill="FFFFFF"/>
        </w:rPr>
        <w:t>646.30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w:t>
      </w:r>
      <w:r>
        <w:rPr>
          <w:rFonts w:hint="default" w:ascii="Times New Roman" w:hAnsi="Times New Roman" w:eastAsia="方正仿宋_GBK" w:cs="Times New Roman"/>
          <w:b w:val="0"/>
          <w:bCs/>
          <w:sz w:val="32"/>
          <w:szCs w:val="32"/>
          <w:shd w:val="clear" w:color="auto" w:fill="FFFFFF"/>
        </w:rPr>
        <w:t>2023年度相比，增加72.33万元，增长12.6%。主要原因是</w:t>
      </w:r>
      <w:r>
        <w:rPr>
          <w:rFonts w:hint="default" w:ascii="Times New Roman" w:hAnsi="Times New Roman" w:eastAsia="方正仿宋_GBK" w:cs="Times New Roman"/>
          <w:b w:val="0"/>
          <w:bCs/>
          <w:sz w:val="32"/>
          <w:szCs w:val="32"/>
          <w:shd w:val="clear" w:color="auto" w:fill="FFFFFF"/>
          <w:lang w:val="en-US" w:eastAsia="zh-CN"/>
        </w:rPr>
        <w:t>新增1名事业人员以及日常公用经费与其他下属单位共同使用。</w:t>
      </w:r>
      <w:r>
        <w:rPr>
          <w:rFonts w:hint="default" w:ascii="Times New Roman" w:hAnsi="Times New Roman" w:eastAsia="方正仿宋_GBK" w:cs="Times New Roman"/>
          <w:b w:val="0"/>
          <w:bCs/>
          <w:sz w:val="32"/>
          <w:szCs w:val="32"/>
          <w:shd w:val="clear" w:color="auto" w:fill="FFFFFF"/>
        </w:rPr>
        <w:t>较年初预算数增加149.09万元，增长30.0%。主要原因是</w:t>
      </w:r>
      <w:r>
        <w:rPr>
          <w:rFonts w:hint="default" w:ascii="Times New Roman" w:hAnsi="Times New Roman" w:eastAsia="方正仿宋_GBK" w:cs="Times New Roman"/>
          <w:b w:val="0"/>
          <w:bCs/>
          <w:sz w:val="32"/>
          <w:szCs w:val="32"/>
          <w:shd w:val="clear" w:color="auto" w:fill="FFFFFF"/>
          <w:lang w:val="en-US" w:eastAsia="zh-CN"/>
        </w:rPr>
        <w:t>新增1名事业人员以及日常公用经费纳入部门统筹使用。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sz w:val="32"/>
          <w:szCs w:val="32"/>
          <w:highlight w:val="none"/>
          <w:shd w:val="clear" w:color="auto" w:fill="FFFFFF"/>
        </w:rPr>
      </w:pPr>
      <w:r>
        <w:rPr>
          <w:rFonts w:ascii="方正仿宋_GBK" w:hAnsi="方正仿宋_GBK" w:eastAsia="方正仿宋_GBK" w:cs="方正仿宋_GBK"/>
          <w:b w:val="0"/>
          <w:bCs/>
          <w:sz w:val="32"/>
          <w:szCs w:val="32"/>
          <w:highlight w:val="none"/>
          <w:shd w:val="clear" w:color="auto" w:fill="FFFFFF"/>
        </w:rPr>
        <w:t>一般公共预算财政拨款支出主要</w:t>
      </w:r>
      <w:r>
        <w:rPr>
          <w:rFonts w:hint="eastAsia" w:ascii="方正仿宋_GBK" w:hAnsi="方正仿宋_GBK" w:eastAsia="方正仿宋_GBK" w:cs="方正仿宋_GBK"/>
          <w:b w:val="0"/>
          <w:bCs/>
          <w:sz w:val="32"/>
          <w:szCs w:val="32"/>
          <w:highlight w:val="none"/>
          <w:shd w:val="clear" w:color="auto" w:fill="FFFFFF"/>
          <w:lang w:eastAsia="zh-CN"/>
        </w:rPr>
        <w:t>用途如下</w:t>
      </w:r>
      <w:r>
        <w:rPr>
          <w:rFonts w:ascii="方正仿宋_GBK" w:hAnsi="方正仿宋_GBK" w:eastAsia="方正仿宋_GBK" w:cs="方正仿宋_GBK"/>
          <w:b w:val="0"/>
          <w:bCs/>
          <w:sz w:val="32"/>
          <w:szCs w:val="32"/>
          <w:highlight w:val="none"/>
          <w:shd w:val="clear" w:color="auto" w:fill="FFFFFF"/>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1</w:t>
      </w:r>
      <w:r>
        <w:rPr>
          <w:rFonts w:ascii="方正仿宋_GBK" w:hAnsi="方正仿宋_GBK" w:eastAsia="方正仿宋_GBK" w:cs="方正仿宋_GBK"/>
          <w:b w:val="0"/>
          <w:bCs/>
          <w:sz w:val="32"/>
          <w:szCs w:val="32"/>
          <w:shd w:val="clear" w:color="auto" w:fill="FFFFFF"/>
        </w:rPr>
        <w:t>）社会保障</w:t>
      </w:r>
      <w:r>
        <w:rPr>
          <w:rFonts w:hint="eastAsia" w:ascii="方正仿宋_GBK" w:hAnsi="方正仿宋_GBK" w:eastAsia="方正仿宋_GBK" w:cs="方正仿宋_GBK"/>
          <w:b w:val="0"/>
          <w:bCs/>
          <w:sz w:val="32"/>
          <w:szCs w:val="32"/>
          <w:shd w:val="clear" w:color="auto" w:fill="FFFFFF"/>
          <w:lang w:eastAsia="zh-CN"/>
        </w:rPr>
        <w:t>和</w:t>
      </w:r>
      <w:r>
        <w:rPr>
          <w:rFonts w:ascii="方正仿宋_GBK" w:hAnsi="方正仿宋_GBK" w:eastAsia="方正仿宋_GBK" w:cs="方正仿宋_GBK"/>
          <w:b w:val="0"/>
          <w:bCs/>
          <w:sz w:val="32"/>
          <w:szCs w:val="32"/>
          <w:shd w:val="clear" w:color="auto" w:fill="FFFFFF"/>
        </w:rPr>
        <w:t>就业支出</w:t>
      </w:r>
      <w:r>
        <w:rPr>
          <w:rFonts w:hint="default" w:ascii="Times New Roman" w:hAnsi="Times New Roman" w:eastAsia="方正仿宋_GBK"/>
          <w:b w:val="0"/>
          <w:bCs/>
          <w:sz w:val="32"/>
          <w:szCs w:val="32"/>
          <w:shd w:val="clear" w:color="auto" w:fill="FFFFFF"/>
        </w:rPr>
        <w:t>111.90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17.3%</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较年初预算数增加58.78万元，增长110.7%</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eastAsia="zh-CN"/>
        </w:rPr>
        <w:t>是</w:t>
      </w:r>
      <w:r>
        <w:rPr>
          <w:rFonts w:hint="eastAsia" w:ascii="方正仿宋_GBK" w:hAnsi="方正仿宋_GBK" w:eastAsia="方正仿宋_GBK" w:cs="方正仿宋_GBK"/>
          <w:b w:val="0"/>
          <w:bCs/>
          <w:sz w:val="32"/>
          <w:szCs w:val="32"/>
          <w:shd w:val="clear" w:color="auto" w:fill="FFFFFF"/>
          <w:lang w:val="en-US" w:eastAsia="zh-CN"/>
        </w:rPr>
        <w:t>新增</w:t>
      </w:r>
      <w:r>
        <w:rPr>
          <w:rFonts w:hint="default" w:ascii="Times New Roman" w:hAnsi="Times New Roman" w:eastAsia="方正仿宋_GBK" w:cs="Times New Roman"/>
          <w:b w:val="0"/>
          <w:bCs/>
          <w:sz w:val="32"/>
          <w:szCs w:val="32"/>
          <w:shd w:val="clear" w:color="auto" w:fill="FFFFFF"/>
          <w:lang w:val="en-US" w:eastAsia="zh-CN"/>
        </w:rPr>
        <w:t>1名</w:t>
      </w:r>
      <w:r>
        <w:rPr>
          <w:rFonts w:hint="eastAsia" w:ascii="方正仿宋_GBK" w:hAnsi="方正仿宋_GBK" w:eastAsia="方正仿宋_GBK" w:cs="方正仿宋_GBK"/>
          <w:b w:val="0"/>
          <w:bCs/>
          <w:sz w:val="32"/>
          <w:szCs w:val="32"/>
          <w:shd w:val="clear" w:color="auto" w:fill="FFFFFF"/>
          <w:lang w:val="en-US" w:eastAsia="zh-CN"/>
        </w:rPr>
        <w:t>事业人员以及补缴社保。</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2</w:t>
      </w:r>
      <w:r>
        <w:rPr>
          <w:rFonts w:ascii="方正仿宋_GBK" w:hAnsi="方正仿宋_GBK" w:eastAsia="方正仿宋_GBK" w:cs="方正仿宋_GBK"/>
          <w:b w:val="0"/>
          <w:bCs/>
          <w:sz w:val="32"/>
          <w:szCs w:val="32"/>
          <w:shd w:val="clear" w:color="auto" w:fill="FFFFFF"/>
        </w:rPr>
        <w:t>）卫生健康支出</w:t>
      </w:r>
      <w:r>
        <w:rPr>
          <w:rFonts w:hint="default" w:ascii="Times New Roman" w:hAnsi="Times New Roman" w:eastAsia="方正仿宋_GBK"/>
          <w:b w:val="0"/>
          <w:bCs/>
          <w:sz w:val="32"/>
          <w:szCs w:val="32"/>
          <w:shd w:val="clear" w:color="auto" w:fill="FFFFFF"/>
        </w:rPr>
        <w:t>28.37</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4.4%</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Times New Roman" w:hAnsi="Times New Roman" w:eastAsia="方正仿宋_GBK"/>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3</w:t>
      </w:r>
      <w:r>
        <w:rPr>
          <w:rFonts w:ascii="方正仿宋_GBK" w:hAnsi="方正仿宋_GBK" w:eastAsia="方正仿宋_GBK" w:cs="方正仿宋_GBK"/>
          <w:b w:val="0"/>
          <w:bCs/>
          <w:sz w:val="32"/>
          <w:szCs w:val="32"/>
          <w:shd w:val="clear" w:color="auto" w:fill="FFFFFF"/>
        </w:rPr>
        <w:t>）城乡社区支出</w:t>
      </w:r>
      <w:r>
        <w:rPr>
          <w:rFonts w:hint="default" w:ascii="Times New Roman" w:hAnsi="Times New Roman" w:eastAsia="方正仿宋_GBK"/>
          <w:b w:val="0"/>
          <w:bCs/>
          <w:sz w:val="32"/>
          <w:szCs w:val="32"/>
          <w:shd w:val="clear" w:color="auto" w:fill="FFFFFF"/>
        </w:rPr>
        <w:t>479.34</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74.2%</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较年初预算数增加90.30万元，增长23.2%</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eastAsia="zh-CN"/>
        </w:rPr>
        <w:t>是</w:t>
      </w:r>
      <w:r>
        <w:rPr>
          <w:rFonts w:hint="default" w:ascii="Times New Roman" w:hAnsi="Times New Roman" w:eastAsia="方正仿宋_GBK" w:cs="Times New Roman"/>
          <w:b w:val="0"/>
          <w:bCs/>
          <w:sz w:val="32"/>
          <w:szCs w:val="32"/>
          <w:shd w:val="clear" w:color="auto" w:fill="FFFFFF"/>
          <w:lang w:val="en-US" w:eastAsia="zh-CN"/>
        </w:rPr>
        <w:t>新增1名</w:t>
      </w:r>
      <w:r>
        <w:rPr>
          <w:rFonts w:hint="eastAsia" w:ascii="方正仿宋_GBK" w:hAnsi="方正仿宋_GBK" w:eastAsia="方正仿宋_GBK" w:cs="方正仿宋_GBK"/>
          <w:b w:val="0"/>
          <w:bCs/>
          <w:sz w:val="32"/>
          <w:szCs w:val="32"/>
          <w:shd w:val="clear" w:color="auto" w:fill="FFFFFF"/>
          <w:lang w:val="en-US" w:eastAsia="zh-CN"/>
        </w:rPr>
        <w:t>事业人员；正常调资补发以及发放上年度超额绩效工资。</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方正仿宋_GBK" w:hAnsi="方正仿宋_GBK" w:eastAsia="方正仿宋_GBK" w:cs="方正仿宋_GBK"/>
          <w:b w:val="0"/>
          <w:bCs/>
          <w:color w:val="FF0000"/>
          <w:sz w:val="32"/>
          <w:szCs w:val="32"/>
          <w:shd w:val="clear" w:color="auto" w:fill="FFFFFF"/>
          <w:lang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4</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住房保障支出</w:t>
      </w:r>
      <w:r>
        <w:rPr>
          <w:rFonts w:hint="default" w:ascii="Times New Roman" w:hAnsi="Times New Roman" w:eastAsia="方正仿宋_GBK"/>
          <w:b w:val="0"/>
          <w:bCs/>
          <w:sz w:val="32"/>
          <w:szCs w:val="32"/>
          <w:shd w:val="clear" w:color="auto" w:fill="FFFFFF"/>
        </w:rPr>
        <w:t>26.69</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4.1%</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3</w:t>
      </w:r>
      <w:r>
        <w:rPr>
          <w:rStyle w:val="8"/>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年度年末一般公共预算财政拨款结转和结余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方正仿宋_GBK" w:hAnsi="方正仿宋_GBK" w:eastAsia="方正仿宋_GBK" w:cs="方正仿宋_GBK"/>
          <w:b w:val="0"/>
          <w:bCs/>
          <w:sz w:val="32"/>
          <w:szCs w:val="32"/>
          <w:shd w:val="clear" w:color="auto" w:fill="FFFFFF"/>
        </w:rPr>
        <w:t>，主要原因是</w:t>
      </w:r>
      <w:r>
        <w:rPr>
          <w:rFonts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rPr>
        <w:t>2024年度一般公共财政拨款基本支出646.30万元。其中：人员经费612.37万元，与2023年度相比，增加74.07万元，增长13.8%，主要原因是</w:t>
      </w:r>
      <w:r>
        <w:rPr>
          <w:rFonts w:hint="default" w:ascii="Times New Roman" w:hAnsi="Times New Roman" w:eastAsia="方正仿宋_GBK" w:cs="Times New Roman"/>
          <w:b w:val="0"/>
          <w:bCs/>
          <w:sz w:val="32"/>
          <w:szCs w:val="32"/>
          <w:shd w:val="clear" w:color="auto" w:fill="FFFFFF"/>
          <w:lang w:val="en-US" w:eastAsia="zh-CN"/>
        </w:rPr>
        <w:t>新增1名事业人员以及补缴社保。</w:t>
      </w:r>
      <w:r>
        <w:rPr>
          <w:rFonts w:hint="default" w:ascii="Times New Roman" w:hAnsi="Times New Roman" w:eastAsia="方正仿宋_GBK" w:cs="Times New Roman"/>
          <w:b w:val="0"/>
          <w:bCs/>
          <w:sz w:val="32"/>
          <w:szCs w:val="32"/>
          <w:shd w:val="clear" w:color="auto" w:fill="FFFFFF"/>
        </w:rPr>
        <w:t>人员经费用途主要包括基本工资、津贴补贴、奖金、社会保障缴费。</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shd w:val="clear" w:color="auto" w:fill="FFFFFF"/>
        </w:rPr>
        <w:t>公用经费33.93万元，与2023年度相比，减少1.74万元，下降4.9%，主要原因</w:t>
      </w:r>
      <w:r>
        <w:rPr>
          <w:rFonts w:hint="default" w:ascii="Times New Roman" w:hAnsi="Times New Roman" w:eastAsia="方正仿宋_GBK" w:cs="Times New Roman"/>
          <w:b w:val="0"/>
          <w:bCs/>
          <w:sz w:val="32"/>
          <w:szCs w:val="32"/>
          <w:shd w:val="clear" w:color="auto" w:fill="FFFFFF"/>
          <w:lang w:eastAsia="zh-CN"/>
        </w:rPr>
        <w:t>是</w:t>
      </w:r>
      <w:r>
        <w:rPr>
          <w:rFonts w:hint="default" w:ascii="Times New Roman" w:hAnsi="Times New Roman" w:eastAsia="方正仿宋_GBK" w:cs="Times New Roman"/>
          <w:b w:val="0"/>
          <w:bCs/>
          <w:sz w:val="32"/>
          <w:szCs w:val="32"/>
          <w:shd w:val="clear" w:color="auto" w:fill="FFFFFF"/>
          <w:lang w:val="en-US" w:eastAsia="zh-CN"/>
        </w:rPr>
        <w:t>我单位是住建委下属单位，日常公用经费纳入部门统筹使用。</w:t>
      </w:r>
      <w:r>
        <w:rPr>
          <w:rFonts w:hint="default" w:ascii="Times New Roman" w:hAnsi="Times New Roman" w:eastAsia="方正仿宋_GBK" w:cs="Times New Roman"/>
          <w:b w:val="0"/>
          <w:bCs/>
          <w:sz w:val="32"/>
          <w:szCs w:val="32"/>
          <w:shd w:val="clear" w:color="auto" w:fill="FFFFFF"/>
        </w:rPr>
        <w:t>公用经费用途主要包括办公费、培训费、会议费、差旅费</w:t>
      </w:r>
      <w:r>
        <w:rPr>
          <w:rFonts w:hint="default" w:ascii="Times New Roman" w:hAnsi="Times New Roman" w:eastAsia="方正仿宋_GBK" w:cs="Times New Roman"/>
          <w:b w:val="0"/>
          <w:bCs/>
          <w:sz w:val="32"/>
          <w:szCs w:val="32"/>
          <w:shd w:val="clear" w:color="auto" w:fill="FFFFFF"/>
          <w:lang w:val="en-US" w:eastAsia="zh-CN"/>
        </w:rPr>
        <w:t>等。</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Style w:val="8"/>
          <w:rFonts w:ascii="Times New Roman" w:hAnsi="Times New Roman" w:eastAsia="方正仿宋_GBK" w:cs="Times New Roman"/>
          <w:b w:val="0"/>
          <w:bCs/>
          <w:sz w:val="32"/>
          <w:szCs w:val="32"/>
        </w:rPr>
        <w:t>本单位202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Times New Roman"/>
          <w:b w:val="0"/>
          <w:bCs/>
          <w:sz w:val="32"/>
          <w:szCs w:val="32"/>
        </w:rPr>
        <w:t>年度无政府性基金预算财政拨款收支。</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38" w:leftChars="266" w:firstLine="0" w:firstLineChars="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ascii="Times New Roman" w:hAnsi="Times New Roman" w:eastAsia="方正仿宋_GBK" w:cs="Times New Roman"/>
          <w:b w:val="0"/>
          <w:bCs/>
          <w:sz w:val="32"/>
          <w:szCs w:val="32"/>
        </w:rPr>
        <w:t>本单位202</w:t>
      </w:r>
      <w:r>
        <w:rPr>
          <w:rStyle w:val="8"/>
          <w:rFonts w:hint="eastAsia" w:ascii="Times New Roman" w:hAnsi="Times New Roman" w:eastAsia="方正仿宋_GBK" w:cs="Times New Roman"/>
          <w:b w:val="0"/>
          <w:bCs/>
          <w:sz w:val="32"/>
          <w:szCs w:val="32"/>
          <w:lang w:val="en-US" w:eastAsia="zh-CN"/>
        </w:rPr>
        <w:t>4</w:t>
      </w:r>
      <w:r>
        <w:rPr>
          <w:rStyle w:val="8"/>
          <w:rFonts w:ascii="Times New Roman" w:hAnsi="Times New Roman" w:eastAsia="方正仿宋_GBK" w:cs="Times New Roman"/>
          <w:b w:val="0"/>
          <w:bCs/>
          <w:sz w:val="32"/>
          <w:szCs w:val="32"/>
        </w:rPr>
        <w:t>年度无国有资本经营预算财政拨款支出。</w:t>
      </w: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1.00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较年初预算数无增减</w:t>
      </w:r>
      <w:r>
        <w:rPr>
          <w:rFonts w:hint="eastAsia" w:ascii="方正仿宋_GBK" w:hAnsi="方正仿宋_GBK" w:eastAsia="方正仿宋_GBK" w:cs="方正仿宋_GBK"/>
          <w:b w:val="0"/>
          <w:bCs/>
          <w:sz w:val="32"/>
          <w:szCs w:val="32"/>
          <w:shd w:val="clear" w:color="auto" w:fill="FFFFFF"/>
          <w:lang w:eastAsia="zh-CN"/>
        </w:rPr>
        <w:t>。</w:t>
      </w:r>
      <w:r>
        <w:rPr>
          <w:rFonts w:hint="default" w:ascii="Times New Roman" w:hAnsi="Times New Roman" w:eastAsia="方正仿宋_GBK"/>
          <w:b w:val="0"/>
          <w:bCs/>
          <w:sz w:val="32"/>
          <w:szCs w:val="32"/>
          <w:shd w:val="clear" w:color="auto" w:fill="FFFFFF"/>
        </w:rPr>
        <w:t>较上年支出数减少1.07万元，下降51.7%</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eastAsia="zh-CN"/>
        </w:rPr>
        <w:t>是</w:t>
      </w:r>
      <w:r>
        <w:rPr>
          <w:rFonts w:hint="eastAsia" w:ascii="方正仿宋_GBK" w:hAnsi="方正仿宋_GBK" w:eastAsia="方正仿宋_GBK" w:cs="方正仿宋_GBK"/>
          <w:b w:val="0"/>
          <w:bCs/>
          <w:sz w:val="32"/>
          <w:szCs w:val="32"/>
          <w:shd w:val="clear" w:color="auto" w:fill="FFFFFF"/>
          <w:lang w:val="en-US" w:eastAsia="zh-CN"/>
        </w:rPr>
        <w:t>严格控制“三公”经费开支，贯彻落实“过紧日子”要求。</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shd w:val="clear" w:color="auto" w:fill="FFFFFF"/>
        </w:rPr>
        <w:t>2024年度本</w:t>
      </w:r>
      <w:r>
        <w:rPr>
          <w:rFonts w:hint="default" w:ascii="Times New Roman" w:hAnsi="Times New Roman" w:eastAsia="方正仿宋_GBK" w:cs="Times New Roman"/>
          <w:b w:val="0"/>
          <w:bCs/>
          <w:sz w:val="32"/>
          <w:szCs w:val="32"/>
          <w:shd w:val="clear" w:color="auto" w:fill="FFFFFF"/>
          <w:lang w:eastAsia="zh-CN"/>
        </w:rPr>
        <w:t>单位</w:t>
      </w:r>
      <w:r>
        <w:rPr>
          <w:rFonts w:hint="default" w:ascii="Times New Roman" w:hAnsi="Times New Roman" w:eastAsia="方正仿宋_GBK" w:cs="Times New Roman"/>
          <w:b w:val="0"/>
          <w:bCs/>
          <w:sz w:val="32"/>
          <w:szCs w:val="32"/>
          <w:shd w:val="clear" w:color="auto" w:fill="FFFFFF"/>
        </w:rPr>
        <w:t>因公出国（境）费用0.00万元</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费用支出较年初预算数无增减，主要原因</w:t>
      </w:r>
      <w:r>
        <w:rPr>
          <w:rFonts w:hint="default" w:ascii="Times New Roman" w:hAnsi="Times New Roman" w:eastAsia="方正仿宋_GBK" w:cs="Times New Roman"/>
          <w:b w:val="0"/>
          <w:bCs/>
          <w:sz w:val="32"/>
          <w:szCs w:val="32"/>
          <w:shd w:val="clear" w:color="auto" w:fill="FFFFFF"/>
          <w:lang w:eastAsia="zh-CN"/>
        </w:rPr>
        <w:t>是</w:t>
      </w:r>
      <w:r>
        <w:rPr>
          <w:rFonts w:hint="default" w:ascii="Times New Roman" w:hAnsi="Times New Roman" w:eastAsia="方正仿宋_GBK" w:cs="Times New Roman"/>
          <w:b w:val="0"/>
          <w:bCs/>
          <w:sz w:val="32"/>
          <w:szCs w:val="32"/>
          <w:shd w:val="clear" w:color="auto" w:fill="FFFFFF"/>
          <w:lang w:val="en-US" w:eastAsia="zh-CN"/>
        </w:rPr>
        <w:t>2024年未安排人员出国出访。</w:t>
      </w:r>
      <w:r>
        <w:rPr>
          <w:rFonts w:hint="default" w:ascii="Times New Roman" w:hAnsi="Times New Roman" w:eastAsia="方正仿宋_GBK" w:cs="Times New Roman"/>
          <w:b w:val="0"/>
          <w:bCs/>
          <w:sz w:val="32"/>
          <w:szCs w:val="32"/>
          <w:shd w:val="clear" w:color="auto" w:fill="FFFFFF"/>
        </w:rPr>
        <w:t>较上年支出数无增减，主要原因</w:t>
      </w:r>
      <w:r>
        <w:rPr>
          <w:rFonts w:hint="default" w:ascii="Times New Roman" w:hAnsi="Times New Roman" w:eastAsia="方正仿宋_GBK" w:cs="Times New Roman"/>
          <w:b w:val="0"/>
          <w:bCs/>
          <w:sz w:val="32"/>
          <w:szCs w:val="32"/>
          <w:shd w:val="clear" w:color="auto" w:fill="FFFFFF"/>
          <w:lang w:val="en-US" w:eastAsia="zh-CN"/>
        </w:rPr>
        <w:t>是2023-2024年均未安排人员出国出访。</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shd w:val="clear" w:color="auto" w:fill="FFFFFF"/>
        </w:rPr>
        <w:t>公务</w:t>
      </w:r>
      <w:r>
        <w:rPr>
          <w:rFonts w:hint="default" w:ascii="Times New Roman" w:hAnsi="Times New Roman" w:eastAsia="方正仿宋_GBK" w:cs="Times New Roman"/>
          <w:b w:val="0"/>
          <w:bCs/>
          <w:sz w:val="32"/>
          <w:szCs w:val="32"/>
          <w:shd w:val="clear" w:color="auto" w:fill="FFFFFF"/>
          <w:lang w:eastAsia="zh-CN"/>
        </w:rPr>
        <w:t>用</w:t>
      </w:r>
      <w:r>
        <w:rPr>
          <w:rFonts w:hint="default" w:ascii="Times New Roman" w:hAnsi="Times New Roman" w:eastAsia="方正仿宋_GBK" w:cs="Times New Roman"/>
          <w:b w:val="0"/>
          <w:bCs/>
          <w:sz w:val="32"/>
          <w:szCs w:val="32"/>
          <w:shd w:val="clear" w:color="auto" w:fill="FFFFFF"/>
        </w:rPr>
        <w:t>车购置费0.00万元</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费用支出较年初预算数无增减</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较上年支出数无增减</w:t>
      </w:r>
      <w:r>
        <w:rPr>
          <w:rFonts w:hint="default" w:ascii="Times New Roman" w:hAnsi="Times New Roman" w:eastAsia="方正仿宋_GBK" w:cs="Times New Roman"/>
          <w:b w:val="0"/>
          <w:bCs/>
          <w:sz w:val="32"/>
          <w:szCs w:val="32"/>
          <w:shd w:val="clear" w:color="auto" w:fill="FFFFFF"/>
          <w:lang w:eastAsia="zh-CN"/>
        </w:rPr>
        <w:t>。</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公务车运行维护费</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万元。费用支出较年初预算数无增减。较上年支出数无增减。</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default" w:ascii="Times New Roman" w:hAnsi="Times New Roman" w:eastAsia="方正仿宋_GBK" w:cs="Times New Roman"/>
          <w:b w:val="0"/>
          <w:bCs/>
          <w:sz w:val="32"/>
          <w:szCs w:val="32"/>
          <w:shd w:val="clear" w:color="auto" w:fill="FFFFFF"/>
        </w:rPr>
        <w:t>公务接待费1.00万元，主要用于接待市级相关部门检查指导工作的支出。费用支出较年初预算数无增减</w:t>
      </w:r>
      <w:r>
        <w:rPr>
          <w:rFonts w:hint="default"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较上年支出数减少1.07万元，下降51.7%，主要原因是</w:t>
      </w:r>
      <w:r>
        <w:rPr>
          <w:rFonts w:hint="default" w:ascii="Times New Roman" w:hAnsi="Times New Roman" w:eastAsia="方正仿宋_GBK" w:cs="Times New Roman"/>
          <w:b w:val="0"/>
          <w:bCs/>
          <w:sz w:val="32"/>
          <w:szCs w:val="32"/>
          <w:shd w:val="clear" w:color="auto" w:fill="FFFFFF"/>
          <w:lang w:val="en-US" w:eastAsia="zh-CN"/>
        </w:rPr>
        <w:t>严</w:t>
      </w:r>
      <w:r>
        <w:rPr>
          <w:rFonts w:hint="eastAsia" w:ascii="方正仿宋_GBK" w:hAnsi="方正仿宋_GBK" w:eastAsia="方正仿宋_GBK" w:cs="方正仿宋_GBK"/>
          <w:b w:val="0"/>
          <w:bCs/>
          <w:sz w:val="32"/>
          <w:szCs w:val="32"/>
          <w:shd w:val="clear" w:color="auto" w:fill="FFFFFF"/>
          <w:lang w:val="en-US" w:eastAsia="zh-CN"/>
        </w:rPr>
        <w:t>格控制“三公”经费的开支。</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因公出国（境）共计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个团组，</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人；公务用车购置</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辆，公务车保有量为</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辆；国内公务接待</w:t>
      </w:r>
      <w:r>
        <w:rPr>
          <w:rFonts w:hint="default" w:ascii="Times New Roman" w:hAnsi="Times New Roman" w:eastAsia="方正仿宋_GBK"/>
          <w:b w:val="0"/>
          <w:bCs/>
          <w:sz w:val="32"/>
          <w:szCs w:val="32"/>
          <w:shd w:val="clear" w:color="auto" w:fill="FFFFFF"/>
        </w:rPr>
        <w:t>14</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96</w:t>
      </w:r>
      <w:r>
        <w:rPr>
          <w:rFonts w:ascii="方正仿宋_GBK" w:hAnsi="方正仿宋_GBK" w:eastAsia="方正仿宋_GBK" w:cs="方正仿宋_GBK"/>
          <w:b w:val="0"/>
          <w:bCs/>
          <w:sz w:val="32"/>
          <w:szCs w:val="32"/>
          <w:shd w:val="clear" w:color="auto" w:fill="FFFFFF"/>
        </w:rPr>
        <w:t>人，其中：国内外事接待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人；国（境）外公务接待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人均接待费</w:t>
      </w:r>
      <w:r>
        <w:rPr>
          <w:rFonts w:hint="default" w:ascii="Times New Roman" w:hAnsi="Times New Roman" w:eastAsia="方正仿宋_GBK"/>
          <w:b w:val="0"/>
          <w:bCs/>
          <w:sz w:val="32"/>
          <w:szCs w:val="32"/>
          <w:shd w:val="clear" w:color="auto" w:fill="FFFFFF"/>
        </w:rPr>
        <w:t>104.17</w:t>
      </w:r>
      <w:r>
        <w:rPr>
          <w:rFonts w:ascii="方正仿宋_GBK" w:hAnsi="方正仿宋_GBK" w:eastAsia="方正仿宋_GBK" w:cs="方正仿宋_GBK"/>
          <w:b w:val="0"/>
          <w:bCs/>
          <w:sz w:val="32"/>
          <w:szCs w:val="32"/>
          <w:shd w:val="clear" w:color="auto" w:fill="FFFFFF"/>
        </w:rPr>
        <w:t>元，车均购置费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万元，车均维护费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FF0000"/>
          <w:sz w:val="32"/>
          <w:szCs w:val="32"/>
          <w:lang w:val="en-US" w:eastAsia="zh-CN"/>
        </w:rPr>
      </w:pPr>
      <w:r>
        <w:rPr>
          <w:rFonts w:ascii="方正仿宋_GBK" w:hAnsi="方正仿宋_GBK" w:eastAsia="方正仿宋_GBK" w:cs="方正仿宋_GBK"/>
          <w:b w:val="0"/>
          <w:bCs/>
          <w:sz w:val="32"/>
          <w:szCs w:val="32"/>
          <w:shd w:val="clear" w:color="auto" w:fill="FFFFFF"/>
        </w:rPr>
        <w:t>本年度会议费支出</w:t>
      </w:r>
      <w:r>
        <w:rPr>
          <w:rFonts w:hint="default" w:ascii="Times New Roman" w:hAnsi="Times New Roman" w:eastAsia="方正仿宋_GBK"/>
          <w:b w:val="0"/>
          <w:bCs/>
          <w:sz w:val="32"/>
          <w:szCs w:val="32"/>
          <w:shd w:val="clear" w:color="auto" w:fill="FFFFFF"/>
        </w:rPr>
        <w:t>0.09</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与2023年度相比，减少0.29万元，下降76.3%</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市级部门开展相关会议次数减少。</w:t>
      </w:r>
      <w:r>
        <w:rPr>
          <w:rFonts w:ascii="方正仿宋_GBK" w:hAnsi="方正仿宋_GBK" w:eastAsia="方正仿宋_GBK" w:cs="方正仿宋_GBK"/>
          <w:b w:val="0"/>
          <w:bCs/>
          <w:sz w:val="32"/>
          <w:szCs w:val="32"/>
          <w:shd w:val="clear" w:color="auto" w:fill="FFFFFF"/>
        </w:rPr>
        <w:t>本年度培训费支出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与2023年度相比，减少5.46万元，下降100.0%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市级部门未专门开展相关业务培训。</w:t>
      </w:r>
      <w:r>
        <w:rPr>
          <w:rFonts w:ascii="方正仿宋_GBK" w:hAnsi="方正仿宋_GBK" w:eastAsia="方正仿宋_GBK" w:cs="方正仿宋_GBK"/>
          <w:b w:val="0"/>
          <w:bCs/>
          <w:sz w:val="32"/>
          <w:szCs w:val="32"/>
          <w:shd w:val="clear" w:color="auto" w:fill="FFFFFF"/>
        </w:rPr>
        <w:t>本年度差旅费支出</w:t>
      </w:r>
      <w:r>
        <w:rPr>
          <w:rFonts w:hint="default" w:ascii="Times New Roman" w:hAnsi="Times New Roman" w:eastAsia="方正仿宋_GBK"/>
          <w:b w:val="0"/>
          <w:bCs/>
          <w:sz w:val="32"/>
          <w:szCs w:val="32"/>
          <w:shd w:val="clear" w:color="auto" w:fill="FFFFFF"/>
        </w:rPr>
        <w:t>4.39</w:t>
      </w:r>
      <w:r>
        <w:rPr>
          <w:rFonts w:ascii="方正仿宋_GBK" w:hAnsi="方正仿宋_GBK" w:eastAsia="方正仿宋_GBK" w:cs="方正仿宋_GBK"/>
          <w:b w:val="0"/>
          <w:bCs/>
          <w:sz w:val="32"/>
          <w:szCs w:val="32"/>
        </w:rPr>
        <w:t>万元，</w:t>
      </w:r>
      <w:r>
        <w:rPr>
          <w:rFonts w:hint="default" w:ascii="Times New Roman" w:hAnsi="Times New Roman" w:eastAsia="方正仿宋_GBK"/>
          <w:b w:val="0"/>
          <w:bCs/>
          <w:sz w:val="32"/>
          <w:szCs w:val="32"/>
          <w:shd w:val="clear" w:color="auto" w:fill="FFFFFF"/>
        </w:rPr>
        <w:t>与2023年度相比，增加1.41万元，增长47.3%</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val="en-US" w:eastAsia="zh-CN"/>
        </w:rPr>
        <w:t>是根据工作需要，我单位到市级部门汇报、沟通工作次数增加。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Fonts w:hint="default" w:ascii="方正仿宋_GBK" w:hAnsi="方正仿宋_GBK" w:eastAsia="方正仿宋_GBK" w:cs="方正仿宋_GBK"/>
          <w:b w:val="0"/>
          <w:bCs/>
          <w:sz w:val="32"/>
          <w:szCs w:val="32"/>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方正仿宋_GBK" w:hAnsi="方正仿宋_GBK"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方正仿宋_GBK" w:hAnsi="方正仿宋_GBK" w:eastAsia="方正仿宋_GBK" w:cs="方正仿宋_GBK"/>
          <w:b w:val="0"/>
          <w:bCs/>
          <w:sz w:val="32"/>
          <w:szCs w:val="32"/>
          <w:shd w:val="clear" w:color="auto" w:fill="FFFFFF"/>
        </w:rPr>
        <w:t>日，本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共有车辆</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eastAsia" w:ascii="Times New Roman" w:hAnsi="Times New Roman" w:eastAsia="方正仿宋_GBK"/>
          <w:b w:val="0"/>
          <w:bCs/>
          <w:sz w:val="32"/>
          <w:szCs w:val="32"/>
          <w:shd w:val="clear" w:color="auto" w:fill="FFFFFF"/>
          <w:lang w:val="en-US" w:eastAsia="zh-CN"/>
        </w:rPr>
        <w:t>.00</w:t>
      </w:r>
      <w:bookmarkStart w:id="0" w:name="_GoBack"/>
      <w:bookmarkEnd w:id="0"/>
      <w:r>
        <w:rPr>
          <w:rFonts w:ascii="方正仿宋_GBK" w:hAnsi="方正仿宋_GBK"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val="en-US" w:eastAsia="zh-CN"/>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政府采购支出总额</w:t>
      </w:r>
      <w:r>
        <w:rPr>
          <w:rFonts w:hint="default" w:ascii="Times New Roman" w:hAnsi="Times New Roman" w:eastAsia="方正仿宋_GBK"/>
          <w:b w:val="0"/>
          <w:bCs/>
          <w:sz w:val="32"/>
          <w:szCs w:val="32"/>
          <w:shd w:val="clear" w:color="auto" w:fill="FFFFFF"/>
        </w:rPr>
        <w:t>0.86</w:t>
      </w:r>
      <w:r>
        <w:rPr>
          <w:rFonts w:ascii="方正仿宋_GBK" w:hAnsi="方正仿宋_GBK" w:eastAsia="方正仿宋_GBK" w:cs="方正仿宋_GBK"/>
          <w:b w:val="0"/>
          <w:bCs/>
          <w:sz w:val="32"/>
          <w:szCs w:val="32"/>
          <w:shd w:val="clear" w:color="auto" w:fill="FFFFFF"/>
        </w:rPr>
        <w:t>万元，其中：政府采购货物支出</w:t>
      </w:r>
      <w:r>
        <w:rPr>
          <w:rFonts w:hint="default" w:ascii="Times New Roman" w:hAnsi="Times New Roman" w:eastAsia="方正仿宋_GBK"/>
          <w:b w:val="0"/>
          <w:bCs/>
          <w:sz w:val="32"/>
          <w:szCs w:val="32"/>
          <w:shd w:val="clear" w:color="auto" w:fill="FFFFFF"/>
        </w:rPr>
        <w:t>0.86</w:t>
      </w:r>
      <w:r>
        <w:rPr>
          <w:rFonts w:ascii="方正仿宋_GBK" w:hAnsi="方正仿宋_GBK" w:eastAsia="方正仿宋_GBK" w:cs="方正仿宋_GBK"/>
          <w:b w:val="0"/>
          <w:bCs/>
          <w:sz w:val="32"/>
          <w:szCs w:val="32"/>
          <w:shd w:val="clear" w:color="auto" w:fill="FFFFFF"/>
        </w:rPr>
        <w:t>万元、政府采购工程支出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万元、政府采购服务支出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万元。授予中小企业合同金额</w:t>
      </w:r>
      <w:r>
        <w:rPr>
          <w:rFonts w:hint="default" w:ascii="Times New Roman" w:hAnsi="Times New Roman" w:eastAsia="方正仿宋_GBK"/>
          <w:b w:val="0"/>
          <w:bCs/>
          <w:sz w:val="32"/>
          <w:szCs w:val="32"/>
          <w:shd w:val="clear" w:color="auto" w:fill="FFFFFF"/>
        </w:rPr>
        <w:t>0.86</w:t>
      </w:r>
      <w:r>
        <w:rPr>
          <w:rFonts w:ascii="方正仿宋_GBK" w:hAnsi="方正仿宋_GBK" w:eastAsia="方正仿宋_GBK" w:cs="方正仿宋_GBK"/>
          <w:b w:val="0"/>
          <w:bCs/>
          <w:sz w:val="32"/>
          <w:szCs w:val="32"/>
        </w:rPr>
        <w:t>万</w:t>
      </w:r>
      <w:r>
        <w:rPr>
          <w:rFonts w:ascii="方正仿宋_GBK" w:hAnsi="方正仿宋_GBK" w:eastAsia="方正仿宋_GBK" w:cs="方正仿宋_GBK"/>
          <w:b w:val="0"/>
          <w:bCs/>
          <w:sz w:val="32"/>
          <w:szCs w:val="32"/>
          <w:shd w:val="clear" w:color="auto" w:fill="FFFFFF"/>
        </w:rPr>
        <w:t>元，占政府采购支出总额的</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，其中：授予小微企业合同金额</w:t>
      </w:r>
      <w:r>
        <w:rPr>
          <w:rFonts w:hint="default" w:ascii="Times New Roman" w:hAnsi="Times New Roman" w:eastAsia="方正仿宋_GBK"/>
          <w:b w:val="0"/>
          <w:bCs/>
          <w:sz w:val="32"/>
          <w:szCs w:val="32"/>
          <w:shd w:val="clear" w:color="auto" w:fill="FFFFFF"/>
        </w:rPr>
        <w:t>0.86</w:t>
      </w:r>
      <w:r>
        <w:rPr>
          <w:rFonts w:ascii="方正仿宋_GBK" w:hAnsi="方正仿宋_GBK" w:eastAsia="方正仿宋_GBK" w:cs="方正仿宋_GBK"/>
          <w:b w:val="0"/>
          <w:bCs/>
          <w:sz w:val="32"/>
          <w:szCs w:val="32"/>
          <w:shd w:val="clear" w:color="auto" w:fill="FFFFFF"/>
        </w:rPr>
        <w:t>万元，占政府采购支出总额的</w:t>
      </w:r>
      <w:r>
        <w:rPr>
          <w:rFonts w:hint="default" w:ascii="Times New Roman" w:hAnsi="Times New Roman" w:eastAsia="方正仿宋_GBK"/>
          <w:b w:val="0"/>
          <w:bCs/>
          <w:sz w:val="32"/>
          <w:szCs w:val="32"/>
          <w:shd w:val="clear" w:color="auto" w:fill="FFFFFF"/>
        </w:rPr>
        <w:t>100.0 %</w:t>
      </w:r>
      <w:r>
        <w:rPr>
          <w:rFonts w:ascii="方正仿宋_GBK" w:hAnsi="方正仿宋_GBK" w:eastAsia="方正仿宋_GBK" w:cs="方正仿宋_GBK"/>
          <w:b w:val="0"/>
          <w:bCs/>
          <w:sz w:val="32"/>
          <w:szCs w:val="32"/>
          <w:shd w:val="clear" w:color="auto" w:fill="FFFFFF"/>
        </w:rPr>
        <w:t>。主要用于</w:t>
      </w:r>
      <w:r>
        <w:rPr>
          <w:rFonts w:hint="eastAsia" w:ascii="方正仿宋_GBK" w:hAnsi="方正仿宋_GBK" w:eastAsia="方正仿宋_GBK" w:cs="方正仿宋_GBK"/>
          <w:b w:val="0"/>
          <w:bCs/>
          <w:sz w:val="32"/>
          <w:szCs w:val="32"/>
          <w:shd w:val="clear" w:color="auto" w:fill="FFFFFF"/>
          <w:lang w:val="en-US" w:eastAsia="zh-CN"/>
        </w:rPr>
        <w:t>采购办公电脑。</w:t>
      </w:r>
    </w:p>
    <w:p>
      <w:pPr>
        <w:pStyle w:val="11"/>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Style w:val="8"/>
          <w:rFonts w:hint="eastAsia" w:ascii="黑体" w:hAnsi="黑体" w:eastAsia="黑体" w:cs="黑体"/>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rPr>
        <w:t>五、</w:t>
      </w:r>
      <w:r>
        <w:rPr>
          <w:rStyle w:val="8"/>
          <w:rFonts w:hint="eastAsia" w:ascii="方正黑体_GBK" w:hAnsi="方正黑体_GBK" w:eastAsia="方正黑体_GBK" w:cs="方正黑体_GBK"/>
          <w:b w:val="0"/>
          <w:bCs/>
          <w:sz w:val="32"/>
          <w:szCs w:val="32"/>
          <w:shd w:val="clear" w:color="auto" w:fill="FFFFFF"/>
          <w:lang w:eastAsia="zh-CN"/>
        </w:rPr>
        <w:t>预算</w:t>
      </w:r>
      <w:r>
        <w:rPr>
          <w:rStyle w:val="8"/>
          <w:rFonts w:hint="eastAsia" w:ascii="方正黑体_GBK" w:hAnsi="方正黑体_GBK" w:eastAsia="方正黑体_GBK" w:cs="方正黑体_GBK"/>
          <w:b w:val="0"/>
          <w:bCs/>
          <w:sz w:val="32"/>
          <w:szCs w:val="32"/>
          <w:shd w:val="clear" w:color="auto" w:fill="FFFFFF"/>
          <w:lang w:val="en-US" w:eastAsia="zh-CN" w:bidi="ar-SA"/>
        </w:rPr>
        <w:t>绩效管理情况说明</w:t>
      </w:r>
    </w:p>
    <w:p>
      <w:pPr>
        <w:pStyle w:val="11"/>
        <w:keepNext w:val="0"/>
        <w:keepLines w:val="0"/>
        <w:pageBreakBefore w:val="0"/>
        <w:widowControl/>
        <w:kinsoku/>
        <w:wordWrap/>
        <w:overflowPunct/>
        <w:topLinePunct w:val="0"/>
        <w:autoSpaceDE w:val="0"/>
        <w:bidi w:val="0"/>
        <w:spacing w:line="560" w:lineRule="exact"/>
        <w:ind w:firstLine="640"/>
        <w:jc w:val="both"/>
        <w:textAlignment w:val="auto"/>
        <w:rPr>
          <w:rFonts w:hint="eastAsia" w:ascii="方正楷体_GBK" w:hAnsi="方正楷体_GBK" w:eastAsia="方正楷体_GBK" w:cs="方正楷体_GBK"/>
          <w:b w:val="0"/>
          <w:bCs/>
          <w:sz w:val="32"/>
          <w:szCs w:val="32"/>
          <w:shd w:val="clear" w:color="auto" w:fill="FFFFFF"/>
          <w:lang w:bidi="ar"/>
        </w:rPr>
      </w:pPr>
      <w:r>
        <w:rPr>
          <w:rFonts w:hint="eastAsia" w:ascii="方正楷体_GBK" w:hAnsi="方正楷体_GBK" w:eastAsia="方正楷体_GBK" w:cs="方正楷体_GBK"/>
          <w:b w:val="0"/>
          <w:bCs/>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outlineLvl w:val="9"/>
        <w:rPr>
          <w:rFonts w:ascii="方正仿宋_GBK" w:hAnsi="方正仿宋_GBK" w:eastAsia="方正仿宋_GBK" w:cs="方正仿宋_GBK"/>
          <w:b w:val="0"/>
          <w:bCs/>
          <w:sz w:val="32"/>
          <w:szCs w:val="32"/>
          <w:highlight w:val="yellow"/>
          <w:shd w:val="clear" w:color="auto" w:fill="FFFFFF"/>
        </w:rPr>
      </w:pPr>
      <w:r>
        <w:rPr>
          <w:rFonts w:hint="eastAsia" w:ascii="方正仿宋_GBK" w:hAnsi="方正仿宋_GBK" w:eastAsia="方正仿宋_GBK" w:cs="方正仿宋_GBK"/>
          <w:b w:val="0"/>
          <w:bCs/>
          <w:sz w:val="32"/>
          <w:szCs w:val="32"/>
          <w:shd w:val="clear" w:color="auto" w:fill="FFFFFF"/>
        </w:rPr>
        <w:t>根据预算绩效管理要求，我单位无项目绩效自评，项目绩效纳入县住房和城乡建委（</w:t>
      </w:r>
      <w:r>
        <w:rPr>
          <w:rFonts w:hint="eastAsia" w:ascii="方正仿宋_GBK" w:hAnsi="方正仿宋_GBK" w:eastAsia="方正仿宋_GBK" w:cs="方正仿宋_GBK"/>
          <w:b w:val="0"/>
          <w:bCs/>
          <w:sz w:val="32"/>
          <w:szCs w:val="32"/>
          <w:shd w:val="clear" w:color="auto" w:fill="FFFFFF"/>
          <w:lang w:val="en-US" w:eastAsia="zh-CN"/>
        </w:rPr>
        <w:t>本级</w:t>
      </w:r>
      <w:r>
        <w:rPr>
          <w:rFonts w:hint="eastAsia" w:ascii="方正仿宋_GBK" w:hAnsi="方正仿宋_GBK" w:eastAsia="方正仿宋_GBK" w:cs="方正仿宋_GBK"/>
          <w:b w:val="0"/>
          <w:bCs/>
          <w:sz w:val="32"/>
          <w:szCs w:val="32"/>
          <w:shd w:val="clear" w:color="auto" w:fill="FFFFFF"/>
        </w:rPr>
        <w:t>）进行自评。</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b w:val="0"/>
          <w:bCs/>
          <w:sz w:val="32"/>
          <w:szCs w:val="32"/>
          <w:shd w:val="clear" w:color="auto" w:fill="FFFFFF"/>
        </w:rPr>
      </w:pPr>
      <w:r>
        <w:rPr>
          <w:rFonts w:hint="eastAsia" w:ascii="方正仿宋_GBK" w:hAnsi="方正仿宋_GBK" w:eastAsia="方正仿宋_GBK" w:cs="方正仿宋_GBK"/>
          <w:b w:val="0"/>
          <w:bCs/>
          <w:sz w:val="32"/>
          <w:szCs w:val="32"/>
          <w:shd w:val="clear" w:color="auto" w:fill="FFFFFF"/>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六</w:t>
      </w:r>
      <w:r>
        <w:rPr>
          <w:rStyle w:val="8"/>
          <w:rFonts w:hint="eastAsia" w:ascii="方正黑体_GBK" w:hAnsi="方正黑体_GBK" w:eastAsia="方正黑体_GBK" w:cs="方正黑体_GBK"/>
          <w:b w:val="0"/>
          <w:bCs/>
          <w:sz w:val="32"/>
          <w:szCs w:val="32"/>
          <w:shd w:val="clear" w:color="auto" w:fill="FFFFFF"/>
        </w:rPr>
        <w:t>、专业名词解释</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（一）财政拨款收入：</w:t>
      </w:r>
      <w:r>
        <w:rPr>
          <w:rFonts w:ascii="方正仿宋_GBK" w:hAnsi="方正仿宋_GBK" w:eastAsia="方正仿宋_GBK" w:cs="方正仿宋_GBK"/>
          <w:b w:val="0"/>
          <w:bCs/>
          <w:sz w:val="32"/>
          <w:szCs w:val="32"/>
          <w:shd w:val="clear" w:color="auto" w:fill="FFFFFF"/>
        </w:rPr>
        <w:t>指本年度从本级财政部门取得的财政拨款。</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二</w:t>
      </w:r>
      <w:r>
        <w:rPr>
          <w:rFonts w:hint="eastAsia" w:ascii="方正楷体_GBK" w:hAnsi="方正楷体_GBK" w:eastAsia="方正楷体_GBK" w:cs="方正楷体_GBK"/>
          <w:b w:val="0"/>
          <w:bCs/>
          <w:sz w:val="32"/>
          <w:szCs w:val="32"/>
          <w:shd w:val="clear" w:color="auto" w:fill="FFFFFF"/>
        </w:rPr>
        <w:t>）基本支出：</w:t>
      </w:r>
      <w:r>
        <w:rPr>
          <w:rFonts w:ascii="方正仿宋_GBK" w:hAnsi="方正仿宋_GBK"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三</w:t>
      </w:r>
      <w:r>
        <w:rPr>
          <w:rFonts w:hint="eastAsia" w:ascii="方正楷体_GBK" w:hAnsi="方正楷体_GBK" w:eastAsia="方正楷体_GBK" w:cs="方正楷体_GBK"/>
          <w:b w:val="0"/>
          <w:bCs/>
          <w:sz w:val="32"/>
          <w:szCs w:val="32"/>
          <w:shd w:val="clear" w:color="auto" w:fill="FFFFFF"/>
        </w:rPr>
        <w:t>）“三公”经费：</w:t>
      </w:r>
      <w:r>
        <w:rPr>
          <w:rFonts w:ascii="方正仿宋_GBK" w:hAnsi="方正仿宋_GBK" w:eastAsia="方正仿宋_GBK" w:cs="方正仿宋_GBK"/>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四</w:t>
      </w:r>
      <w:r>
        <w:rPr>
          <w:rFonts w:hint="eastAsia" w:ascii="方正楷体_GBK" w:hAnsi="方正楷体_GBK" w:eastAsia="方正楷体_GBK" w:cs="方正楷体_GBK"/>
          <w:b w:val="0"/>
          <w:bCs/>
          <w:sz w:val="32"/>
          <w:szCs w:val="32"/>
          <w:shd w:val="clear" w:color="auto" w:fill="FFFFFF"/>
        </w:rPr>
        <w:t>）工资福利支出（支出经济分类科目类级）：</w:t>
      </w:r>
      <w:r>
        <w:rPr>
          <w:rFonts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五</w:t>
      </w:r>
      <w:r>
        <w:rPr>
          <w:rFonts w:hint="eastAsia" w:ascii="方正楷体_GBK" w:hAnsi="方正楷体_GBK" w:eastAsia="方正楷体_GBK" w:cs="方正楷体_GBK"/>
          <w:b w:val="0"/>
          <w:bCs/>
          <w:sz w:val="32"/>
          <w:szCs w:val="32"/>
          <w:shd w:val="clear" w:color="auto" w:fill="FFFFFF"/>
        </w:rPr>
        <w:t>）商品和服务支出（支出经济分类科目类级）：</w:t>
      </w:r>
      <w:r>
        <w:rPr>
          <w:rFonts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Fonts w:hint="eastAsia" w:ascii="方正楷体_GBK" w:hAnsi="方正楷体_GBK" w:eastAsia="方正楷体_GBK" w:cs="方正楷体_GBK"/>
          <w:b w:val="0"/>
          <w:bCs/>
          <w:sz w:val="32"/>
          <w:szCs w:val="32"/>
          <w:shd w:val="clear" w:color="auto" w:fill="FFFFFF"/>
          <w:lang w:val="en-US" w:eastAsia="zh-CN"/>
        </w:rPr>
        <w:t>（六</w:t>
      </w:r>
      <w:r>
        <w:rPr>
          <w:rFonts w:hint="eastAsia" w:ascii="方正楷体_GBK" w:hAnsi="方正楷体_GBK" w:eastAsia="方正楷体_GBK" w:cs="方正楷体_GBK"/>
          <w:b w:val="0"/>
          <w:bCs/>
          <w:sz w:val="32"/>
          <w:szCs w:val="32"/>
          <w:shd w:val="clear" w:color="auto" w:fill="FFFFFF"/>
        </w:rPr>
        <w:t>）对个人和家庭的补助（支出经济分类科目类级）：</w:t>
      </w:r>
      <w:r>
        <w:rPr>
          <w:rFonts w:ascii="方正仿宋_GBK" w:hAnsi="方正仿宋_GBK" w:eastAsia="方正仿宋_GBK" w:cs="方正仿宋_GBK"/>
          <w:b w:val="0"/>
          <w:bCs/>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七</w:t>
      </w:r>
      <w:r>
        <w:rPr>
          <w:rStyle w:val="8"/>
          <w:rFonts w:hint="eastAsia" w:ascii="方正黑体_GBK" w:hAnsi="方正黑体_GBK" w:eastAsia="方正黑体_GBK" w:cs="方正黑体_GBK"/>
          <w:b w:val="0"/>
          <w:bCs/>
          <w:sz w:val="32"/>
          <w:szCs w:val="32"/>
          <w:shd w:val="clear" w:color="auto" w:fill="FFFFFF"/>
        </w:rPr>
        <w:t>、决算公开联系方式及信息反馈渠道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8"/>
          <w:rFonts w:hint="eastAsia" w:ascii="方正仿宋_GBK" w:hAnsi="方正仿宋_GBK" w:eastAsia="方正仿宋_GBK" w:cs="方正仿宋_GBK"/>
          <w:b w:val="0"/>
          <w:bCs/>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b w:val="0"/>
          <w:bCs/>
          <w:sz w:val="32"/>
          <w:szCs w:val="32"/>
          <w:shd w:val="clear" w:color="auto" w:fill="FFFFFF"/>
        </w:rPr>
        <w:t>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决算公开信息反馈和联系方式：</w:t>
      </w:r>
      <w:r>
        <w:rPr>
          <w:rFonts w:hint="eastAsia" w:ascii="Times New Roman" w:hAnsi="Times New Roman" w:eastAsia="方正仿宋_GBK" w:cs="方正仿宋_GBK"/>
          <w:b w:val="0"/>
          <w:bCs/>
          <w:sz w:val="32"/>
          <w:szCs w:val="32"/>
          <w:shd w:val="clear" w:color="auto" w:fill="FFFFFF"/>
          <w:lang w:val="en-US" w:eastAsia="zh-CN"/>
        </w:rPr>
        <w:t>023-76671508</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秀山土家族苗族自治县住房和城乡建设管理综合执法大队</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646.30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111.90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479.34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646.30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646.30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646.30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秀山土家族苗族自治县住房和城乡建设管理综合执法大队</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646.30</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646.30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479.34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479.34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479.34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479.34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479.34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479.34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秀山土家族苗族自治县住房和城乡建设管理综合执法大队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646.30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646.30</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111.90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74.23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37.67</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479.34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479.34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479.34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479.34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479.34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479.34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26.69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秀山土家族苗族自治县住房和城乡建设管理综合执法大队</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646.30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479.34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479.34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646.30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646.30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646.30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秀山土家族苗族自治县住房和城乡建设管理综合执法大队</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646.30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646.30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74.23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37.67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22.13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479.34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479.34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479.34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479.34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479.34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479.34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26.69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秀山土家族苗族自治县住房和城乡建设管理综合执法大队</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611.90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125.81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9.94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79.11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239.36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74.23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612.37</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33.93</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秀山土家族苗族自治县住房和城乡建设管理综合执法大队</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秀山土家族苗族自治县住房和城乡建设管理综合执法大队</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秀山土家族苗族自治县住房和城乡建设管理综合执法大队</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AA28D9"/>
    <w:rsid w:val="03B87EA0"/>
    <w:rsid w:val="03E3214F"/>
    <w:rsid w:val="044C50BA"/>
    <w:rsid w:val="05840309"/>
    <w:rsid w:val="05BC6D49"/>
    <w:rsid w:val="06194FF1"/>
    <w:rsid w:val="06A2550B"/>
    <w:rsid w:val="06F80EE2"/>
    <w:rsid w:val="07001CCA"/>
    <w:rsid w:val="075678DB"/>
    <w:rsid w:val="079D7CC7"/>
    <w:rsid w:val="07B84D4C"/>
    <w:rsid w:val="08051BCA"/>
    <w:rsid w:val="08277730"/>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D3C60"/>
    <w:rsid w:val="107B59E5"/>
    <w:rsid w:val="10EC0126"/>
    <w:rsid w:val="10F70B9A"/>
    <w:rsid w:val="111445C7"/>
    <w:rsid w:val="114278C6"/>
    <w:rsid w:val="1158083A"/>
    <w:rsid w:val="11643A4B"/>
    <w:rsid w:val="11ED0F98"/>
    <w:rsid w:val="11F03528"/>
    <w:rsid w:val="12765758"/>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5A34CA"/>
    <w:rsid w:val="1ECF0A66"/>
    <w:rsid w:val="1EF67CA4"/>
    <w:rsid w:val="1F020D3A"/>
    <w:rsid w:val="1F2C5189"/>
    <w:rsid w:val="1F4B0B02"/>
    <w:rsid w:val="1FBB35CD"/>
    <w:rsid w:val="1FCD26AF"/>
    <w:rsid w:val="20642787"/>
    <w:rsid w:val="21556F04"/>
    <w:rsid w:val="215F296B"/>
    <w:rsid w:val="22403BD3"/>
    <w:rsid w:val="235417B6"/>
    <w:rsid w:val="24B92327"/>
    <w:rsid w:val="24C14514"/>
    <w:rsid w:val="2533755C"/>
    <w:rsid w:val="25791755"/>
    <w:rsid w:val="26396DF4"/>
    <w:rsid w:val="26E95C0F"/>
    <w:rsid w:val="27167136"/>
    <w:rsid w:val="271B442C"/>
    <w:rsid w:val="27B23302"/>
    <w:rsid w:val="29310A5F"/>
    <w:rsid w:val="29C37A35"/>
    <w:rsid w:val="2A076083"/>
    <w:rsid w:val="2A73162E"/>
    <w:rsid w:val="2B167953"/>
    <w:rsid w:val="2B200583"/>
    <w:rsid w:val="2B8209DE"/>
    <w:rsid w:val="2B821C91"/>
    <w:rsid w:val="2BF81A22"/>
    <w:rsid w:val="2C636760"/>
    <w:rsid w:val="2C6762A3"/>
    <w:rsid w:val="2D6C2851"/>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906F95"/>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0A1B6A"/>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382B1D"/>
    <w:rsid w:val="41E0734B"/>
    <w:rsid w:val="426C1EA8"/>
    <w:rsid w:val="42736402"/>
    <w:rsid w:val="42E86A87"/>
    <w:rsid w:val="43307B09"/>
    <w:rsid w:val="436D44AF"/>
    <w:rsid w:val="439A3EB9"/>
    <w:rsid w:val="43A2191B"/>
    <w:rsid w:val="43BB152F"/>
    <w:rsid w:val="44293E61"/>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F2D4A41"/>
    <w:rsid w:val="5FEC7132"/>
    <w:rsid w:val="60C74F6C"/>
    <w:rsid w:val="61015958"/>
    <w:rsid w:val="61025A59"/>
    <w:rsid w:val="613D5BBC"/>
    <w:rsid w:val="61536C39"/>
    <w:rsid w:val="61894431"/>
    <w:rsid w:val="62944DD7"/>
    <w:rsid w:val="6319381F"/>
    <w:rsid w:val="63C25DC5"/>
    <w:rsid w:val="63C62057"/>
    <w:rsid w:val="64571EF5"/>
    <w:rsid w:val="64FB113D"/>
    <w:rsid w:val="656152C6"/>
    <w:rsid w:val="6587477F"/>
    <w:rsid w:val="658C3A08"/>
    <w:rsid w:val="65C031CA"/>
    <w:rsid w:val="65CE6852"/>
    <w:rsid w:val="66267C04"/>
    <w:rsid w:val="663F505A"/>
    <w:rsid w:val="66AF5D7C"/>
    <w:rsid w:val="66EE5541"/>
    <w:rsid w:val="67924660"/>
    <w:rsid w:val="68407834"/>
    <w:rsid w:val="687C2526"/>
    <w:rsid w:val="6883293E"/>
    <w:rsid w:val="688412AD"/>
    <w:rsid w:val="68AB0C2B"/>
    <w:rsid w:val="68EB1B71"/>
    <w:rsid w:val="6917171D"/>
    <w:rsid w:val="696C0310"/>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41526A"/>
    <w:rsid w:val="708F6F7F"/>
    <w:rsid w:val="70D94BD3"/>
    <w:rsid w:val="71574775"/>
    <w:rsid w:val="71C34D91"/>
    <w:rsid w:val="7214602D"/>
    <w:rsid w:val="72DB435C"/>
    <w:rsid w:val="72E2613A"/>
    <w:rsid w:val="72F771F4"/>
    <w:rsid w:val="73934AD2"/>
    <w:rsid w:val="750837F0"/>
    <w:rsid w:val="754758CF"/>
    <w:rsid w:val="75595ECD"/>
    <w:rsid w:val="764F62AB"/>
    <w:rsid w:val="765C45EC"/>
    <w:rsid w:val="768A7619"/>
    <w:rsid w:val="772E1EBA"/>
    <w:rsid w:val="781926BC"/>
    <w:rsid w:val="796D60A4"/>
    <w:rsid w:val="797A664A"/>
    <w:rsid w:val="79A031D5"/>
    <w:rsid w:val="79A8010A"/>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19</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111</cp:lastModifiedBy>
  <dcterms:modified xsi:type="dcterms:W3CDTF">2025-09-29T09:55:33Z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