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秀山土家族苗族自治县管线综合管理事务中心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 开展管线综合管理的相关协调服务。主要包括协调指导城市综合管廊、相关管线工程的建设和管理，组织实施城镇排水（雨水、污水）管网建设和维护管理、城市市政消火栓建设等的具体事务性工作。受主管部门委托，承担城市污水处理厂建设运行管理、城镇污水处理费征收的管理工作、城镇排水监测的监督管理、城市排水防涝等工作。</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2.为城市管线建设提供技术服务。主要包括参与管线工程方案设计、初步设计、施工图设计的技术审查，为开展相关的地下市政交通设施、综合管廊、停车场等功能设施综合开发建设提供技术性服务。</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3.开展管线工程档案信息化服务。主要包括组织实施城市管线工程档案信息化利用工作，开展相关的地下市政和交通设施、综合管廊、停车场等功能设施工程档案信息化研究。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MicrosoftYaHei" w:cs="MicrosoftYaHei"/>
          <w:b w:val="0"/>
          <w:bCs/>
          <w:sz w:val="32"/>
          <w:szCs w:val="32"/>
        </w:rPr>
      </w:pPr>
      <w:r>
        <w:rPr>
          <w:rFonts w:ascii="Times New Roman" w:hAnsi="Times New Roman" w:eastAsia="方正仿宋_GBK"/>
          <w:b w:val="0"/>
          <w:bCs/>
          <w:color w:val="333333"/>
          <w:sz w:val="32"/>
          <w:szCs w:val="32"/>
          <w:shd w:val="clear" w:color="auto" w:fill="FFFFFF"/>
        </w:rPr>
        <w:t>秀山土家族苗族自治县管线综合管理事务中心，为县住房城乡建委管理的公益一类副科级事业单位。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color w:val="FF0000"/>
          <w:sz w:val="32"/>
          <w:szCs w:val="32"/>
          <w:shd w:val="clear" w:color="auto" w:fill="FFFFFF"/>
          <w:lang w:val="en-US" w:eastAsia="zh-CN"/>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年度收</w:t>
      </w:r>
      <w:r>
        <w:rPr>
          <w:rFonts w:hint="eastAsia" w:ascii="Times New Roman" w:hAnsi="Times New Roman" w:eastAsia="方正仿宋_GBK" w:cs="方正仿宋_GBK"/>
          <w:b w:val="0"/>
          <w:bCs/>
          <w:sz w:val="32"/>
          <w:szCs w:val="32"/>
          <w:shd w:val="clear" w:color="auto" w:fill="FFFFFF"/>
          <w:lang w:eastAsia="zh-CN"/>
        </w:rPr>
        <w:t>、支</w:t>
      </w:r>
      <w:r>
        <w:rPr>
          <w:rFonts w:ascii="Times New Roman" w:hAnsi="Times New Roman" w:eastAsia="方正仿宋_GBK" w:cs="方正仿宋_GBK"/>
          <w:b w:val="0"/>
          <w:bCs/>
          <w:sz w:val="32"/>
          <w:szCs w:val="32"/>
          <w:shd w:val="clear" w:color="auto" w:fill="FFFFFF"/>
        </w:rPr>
        <w:t>总计</w:t>
      </w:r>
      <w:r>
        <w:rPr>
          <w:rFonts w:hint="eastAsia" w:ascii="Times New Roman" w:hAnsi="Times New Roman" w:eastAsia="方正仿宋_GBK" w:cs="方正仿宋_GBK"/>
          <w:b w:val="0"/>
          <w:bCs/>
          <w:sz w:val="32"/>
          <w:szCs w:val="32"/>
          <w:shd w:val="clear" w:color="auto" w:fill="FFFFFF"/>
          <w:lang w:eastAsia="zh-CN"/>
        </w:rPr>
        <w:t>均为</w:t>
      </w:r>
      <w:r>
        <w:rPr>
          <w:rFonts w:hint="default" w:ascii="Times New Roman" w:hAnsi="Times New Roman" w:eastAsia="方正仿宋_GBK"/>
          <w:b w:val="0"/>
          <w:bCs/>
          <w:sz w:val="32"/>
          <w:szCs w:val="32"/>
          <w:shd w:val="clear" w:color="auto" w:fill="FFFFFF"/>
        </w:rPr>
        <w:t>684.22</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收、支与2023年度相比，增加507.75万元，增长287.7%</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上年城镇管网日常维护维修等项目在本级列支，今年纳入管线综合管理事务中心。</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1</w:t>
      </w:r>
      <w:r>
        <w:rPr>
          <w:rStyle w:val="8"/>
          <w:rFonts w:ascii="Times New Roman" w:hAnsi="Times New Roman"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年度收入合计</w:t>
      </w:r>
      <w:r>
        <w:rPr>
          <w:rFonts w:hint="default" w:ascii="Times New Roman" w:hAnsi="Times New Roman" w:eastAsia="方正仿宋_GBK"/>
          <w:b w:val="0"/>
          <w:bCs/>
          <w:sz w:val="32"/>
          <w:szCs w:val="32"/>
          <w:shd w:val="clear" w:color="auto" w:fill="FFFFFF"/>
        </w:rPr>
        <w:t>684.22</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与2023年度相比，增加507.75万元，增长287.7%</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上年城镇管网日常维护维修等项目在本级列支，今年纳入管线综合管理事务中心。</w:t>
      </w:r>
      <w:r>
        <w:rPr>
          <w:rFonts w:ascii="Times New Roman" w:hAnsi="Times New Roman" w:eastAsia="方正仿宋_GBK" w:cs="方正仿宋_GBK"/>
          <w:b w:val="0"/>
          <w:bCs/>
          <w:sz w:val="32"/>
          <w:szCs w:val="32"/>
          <w:shd w:val="clear" w:color="auto" w:fill="FFFFFF"/>
        </w:rPr>
        <w:t>其中：财政拨款收入</w:t>
      </w:r>
      <w:r>
        <w:rPr>
          <w:rFonts w:hint="default" w:ascii="Times New Roman" w:hAnsi="Times New Roman" w:eastAsia="方正仿宋_GBK"/>
          <w:b w:val="0"/>
          <w:bCs/>
          <w:sz w:val="32"/>
          <w:szCs w:val="32"/>
          <w:shd w:val="clear" w:color="auto" w:fill="FFFFFF"/>
        </w:rPr>
        <w:t>684.22</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Times New Roman" w:hAnsi="Times New Roman" w:eastAsia="方正仿宋_GBK" w:cs="方正仿宋_GBK"/>
          <w:b w:val="0"/>
          <w:bCs/>
          <w:sz w:val="32"/>
          <w:szCs w:val="32"/>
          <w:shd w:val="clear" w:color="auto" w:fill="FFFFFF"/>
        </w:rPr>
        <w:t>；事业收入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；经营收入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；其他收入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。此外，</w:t>
      </w:r>
      <w:r>
        <w:rPr>
          <w:rFonts w:hint="eastAsia" w:ascii="Times New Roman" w:hAnsi="Times New Roman" w:eastAsia="方正仿宋_GBK" w:cs="方正仿宋_GBK"/>
          <w:b w:val="0"/>
          <w:bCs/>
          <w:sz w:val="32"/>
          <w:szCs w:val="32"/>
          <w:shd w:val="clear" w:color="auto" w:fill="FFFFFF"/>
        </w:rPr>
        <w:t>使用非财政拨款结余（含专用结余）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万元，年初结转和结余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2</w:t>
      </w:r>
      <w:r>
        <w:rPr>
          <w:rStyle w:val="8"/>
          <w:rFonts w:ascii="Times New Roman" w:hAnsi="Times New Roman"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年度支出合计</w:t>
      </w:r>
      <w:r>
        <w:rPr>
          <w:rFonts w:hint="default" w:ascii="Times New Roman" w:hAnsi="Times New Roman" w:eastAsia="方正仿宋_GBK"/>
          <w:b w:val="0"/>
          <w:bCs/>
          <w:sz w:val="32"/>
          <w:szCs w:val="32"/>
          <w:shd w:val="clear" w:color="auto" w:fill="FFFFFF"/>
        </w:rPr>
        <w:t>684.22</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与2023年度相比，增加507.75万元，增长287.7%</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上年城镇管网日常维护维修等项目在本级列支，今年纳入管线综合管理事务中心。</w:t>
      </w:r>
      <w:r>
        <w:rPr>
          <w:rFonts w:ascii="Times New Roman" w:hAnsi="Times New Roman" w:eastAsia="方正仿宋_GBK" w:cs="方正仿宋_GBK"/>
          <w:b w:val="0"/>
          <w:bCs/>
          <w:sz w:val="32"/>
          <w:szCs w:val="32"/>
          <w:shd w:val="clear" w:color="auto" w:fill="FFFFFF"/>
        </w:rPr>
        <w:t>其中：基本支出</w:t>
      </w:r>
      <w:r>
        <w:rPr>
          <w:rFonts w:hint="default" w:ascii="Times New Roman" w:hAnsi="Times New Roman" w:eastAsia="方正仿宋_GBK"/>
          <w:b w:val="0"/>
          <w:bCs/>
          <w:sz w:val="32"/>
          <w:szCs w:val="32"/>
          <w:shd w:val="clear" w:color="auto" w:fill="FFFFFF"/>
        </w:rPr>
        <w:t>118.19</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17.3%</w:t>
      </w:r>
      <w:r>
        <w:rPr>
          <w:rFonts w:ascii="Times New Roman" w:hAnsi="Times New Roman" w:eastAsia="方正仿宋_GBK" w:cs="方正仿宋_GBK"/>
          <w:b w:val="0"/>
          <w:bCs/>
          <w:sz w:val="32"/>
          <w:szCs w:val="32"/>
          <w:shd w:val="clear" w:color="auto" w:fill="FFFFFF"/>
        </w:rPr>
        <w:t>；项目支出</w:t>
      </w:r>
      <w:r>
        <w:rPr>
          <w:rFonts w:hint="default" w:ascii="Times New Roman" w:hAnsi="Times New Roman" w:eastAsia="方正仿宋_GBK"/>
          <w:b w:val="0"/>
          <w:bCs/>
          <w:sz w:val="32"/>
          <w:szCs w:val="32"/>
          <w:shd w:val="clear" w:color="auto" w:fill="FFFFFF"/>
        </w:rPr>
        <w:t>566.03</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82.7%</w:t>
      </w:r>
      <w:r>
        <w:rPr>
          <w:rFonts w:ascii="Times New Roman" w:hAnsi="Times New Roman" w:eastAsia="方正仿宋_GBK" w:cs="方正仿宋_GBK"/>
          <w:b w:val="0"/>
          <w:bCs/>
          <w:sz w:val="32"/>
          <w:szCs w:val="32"/>
          <w:shd w:val="clear" w:color="auto" w:fill="FFFFFF"/>
        </w:rPr>
        <w:t>；经营支出</w:t>
      </w:r>
      <w:r>
        <w:rPr>
          <w:rFonts w:hint="default" w:ascii="Times New Roman" w:hAnsi="Times New Roman" w:eastAsia="方正仿宋_GBK"/>
          <w:b w:val="0"/>
          <w:bCs/>
          <w:sz w:val="32"/>
          <w:szCs w:val="32"/>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。此外，结余分配</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Style w:val="8"/>
          <w:rFonts w:hint="eastAsia" w:ascii="Times New Roman" w:hAnsi="Times New Roman" w:eastAsia="方正仿宋_GBK"/>
          <w:b w:val="0"/>
          <w:bCs/>
          <w:sz w:val="32"/>
          <w:szCs w:val="32"/>
          <w:shd w:val="clear" w:color="auto" w:fill="FFFFFF"/>
          <w:lang w:val="en-US" w:eastAsia="zh-CN"/>
        </w:rPr>
        <w:t>3</w:t>
      </w:r>
      <w:r>
        <w:rPr>
          <w:rStyle w:val="8"/>
          <w:rFonts w:ascii="Times New Roman" w:hAnsi="Times New Roman"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年度年末结转和结余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年度财政拨款收、支总计均为</w:t>
      </w:r>
      <w:r>
        <w:rPr>
          <w:rFonts w:hint="default" w:ascii="Times New Roman" w:hAnsi="Times New Roman" w:eastAsia="方正仿宋_GBK"/>
          <w:b w:val="0"/>
          <w:bCs/>
          <w:sz w:val="32"/>
          <w:szCs w:val="32"/>
          <w:shd w:val="clear" w:color="auto" w:fill="FFFFFF"/>
        </w:rPr>
        <w:t>684.22</w:t>
      </w:r>
      <w:r>
        <w:rPr>
          <w:rFonts w:ascii="Times New Roman" w:hAnsi="Times New Roman" w:eastAsia="方正仿宋_GBK" w:cs="方正仿宋_GBK"/>
          <w:b w:val="0"/>
          <w:bCs/>
          <w:sz w:val="32"/>
          <w:szCs w:val="32"/>
          <w:shd w:val="clear" w:color="auto" w:fill="FFFFFF"/>
        </w:rPr>
        <w:t>万元。与</w:t>
      </w:r>
      <w:r>
        <w:rPr>
          <w:rFonts w:hint="default" w:ascii="Times New Roman" w:hAnsi="Times New Roman" w:eastAsia="方正仿宋_GBK"/>
          <w:b w:val="0"/>
          <w:bCs/>
          <w:sz w:val="32"/>
          <w:szCs w:val="32"/>
          <w:shd w:val="clear" w:color="auto" w:fill="FFFFFF"/>
        </w:rPr>
        <w:t>2023</w:t>
      </w:r>
      <w:r>
        <w:rPr>
          <w:rFonts w:ascii="Times New Roman" w:hAnsi="Times New Roman" w:eastAsia="方正仿宋_GBK" w:cs="方正仿宋_GBK"/>
          <w:b w:val="0"/>
          <w:bCs/>
          <w:sz w:val="32"/>
          <w:szCs w:val="32"/>
          <w:shd w:val="clear" w:color="auto" w:fill="FFFFFF"/>
        </w:rPr>
        <w:t>年</w:t>
      </w:r>
      <w:r>
        <w:rPr>
          <w:rFonts w:hint="eastAsia" w:ascii="Times New Roman" w:hAnsi="Times New Roman" w:eastAsia="方正仿宋_GBK" w:cs="方正仿宋_GBK"/>
          <w:b w:val="0"/>
          <w:bCs/>
          <w:sz w:val="32"/>
          <w:szCs w:val="32"/>
          <w:shd w:val="clear" w:color="auto" w:fill="FFFFFF"/>
          <w:lang w:eastAsia="zh-CN"/>
        </w:rPr>
        <w:t>度</w:t>
      </w:r>
      <w:r>
        <w:rPr>
          <w:rFonts w:ascii="Times New Roman" w:hAnsi="Times New Roman" w:eastAsia="方正仿宋_GBK" w:cs="方正仿宋_GBK"/>
          <w:b w:val="0"/>
          <w:bCs/>
          <w:sz w:val="32"/>
          <w:szCs w:val="32"/>
          <w:shd w:val="clear" w:color="auto" w:fill="FFFFFF"/>
        </w:rPr>
        <w:t>相比，</w:t>
      </w:r>
      <w:r>
        <w:rPr>
          <w:rFonts w:hint="default" w:ascii="Times New Roman" w:hAnsi="Times New Roman" w:eastAsia="方正仿宋_GBK"/>
          <w:b w:val="0"/>
          <w:bCs/>
          <w:sz w:val="32"/>
          <w:szCs w:val="32"/>
          <w:shd w:val="clear" w:color="auto" w:fill="FFFFFF"/>
        </w:rPr>
        <w:t>财政拨款收、支总计各增加507.75万元，增长287.7%</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上年城镇管网日常维护维修等项目在本级列支，今年纳入管线综合管理事务中心。</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Style w:val="8"/>
          <w:rFonts w:hint="default" w:ascii="Times New Roman" w:hAnsi="Times New Roman" w:eastAsia="方正仿宋_GBK"/>
          <w:b w:val="0"/>
          <w:bCs/>
          <w:sz w:val="32"/>
          <w:szCs w:val="32"/>
          <w:shd w:val="clear" w:color="auto" w:fill="FFFFFF"/>
        </w:rPr>
        <w:t>1</w:t>
      </w:r>
      <w:r>
        <w:rPr>
          <w:rStyle w:val="8"/>
          <w:rFonts w:ascii="Times New Roman" w:hAnsi="Times New Roman"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年度一般公共预算财政拨款收入</w:t>
      </w:r>
      <w:r>
        <w:rPr>
          <w:rFonts w:hint="default" w:ascii="Times New Roman" w:hAnsi="Times New Roman" w:eastAsia="方正仿宋_GBK"/>
          <w:b w:val="0"/>
          <w:bCs/>
          <w:sz w:val="32"/>
          <w:szCs w:val="32"/>
          <w:shd w:val="clear" w:color="auto" w:fill="FFFFFF"/>
        </w:rPr>
        <w:t>490.29</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与2023年度相比，增加364.56万元，增长290.0%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上年城镇管网日常维护维修等项目在本级列支，今年纳入管线综合管理事务中心。</w:t>
      </w:r>
      <w:r>
        <w:rPr>
          <w:rFonts w:hint="default" w:ascii="Times New Roman" w:hAnsi="Times New Roman" w:eastAsia="方正仿宋_GBK"/>
          <w:b w:val="0"/>
          <w:bCs/>
          <w:sz w:val="32"/>
          <w:szCs w:val="32"/>
          <w:shd w:val="clear" w:color="auto" w:fill="FFFFFF"/>
        </w:rPr>
        <w:t>较年初预算数增加368.61万元，增长302.9%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上年城镇管网日常维护维修等项目在本级列支，今年纳入管线综合管理事务中心。</w:t>
      </w:r>
      <w:r>
        <w:rPr>
          <w:rFonts w:ascii="Times New Roman" w:hAnsi="Times New Roman" w:eastAsia="方正仿宋_GBK" w:cs="方正仿宋_GBK"/>
          <w:b w:val="0"/>
          <w:bCs/>
          <w:sz w:val="32"/>
          <w:szCs w:val="32"/>
          <w:shd w:val="clear" w:color="auto" w:fill="FFFFFF"/>
        </w:rPr>
        <w:t>此外，年初财政拨款结转和结余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2</w:t>
      </w:r>
      <w:r>
        <w:rPr>
          <w:rStyle w:val="8"/>
          <w:rFonts w:ascii="Times New Roman" w:hAnsi="Times New Roman"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年度一般公共预算财政拨款支出</w:t>
      </w:r>
      <w:r>
        <w:rPr>
          <w:rFonts w:hint="default" w:ascii="Times New Roman" w:hAnsi="Times New Roman" w:eastAsia="方正仿宋_GBK"/>
          <w:b w:val="0"/>
          <w:bCs/>
          <w:sz w:val="32"/>
          <w:szCs w:val="32"/>
          <w:shd w:val="clear" w:color="auto" w:fill="FFFFFF"/>
        </w:rPr>
        <w:t>490.29</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与2023年度相比，增加364.56万元，增长290.0%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上年城镇管网日常维护维修等项目在本级列支，今年纳入管线综合管理事务中心。</w:t>
      </w:r>
      <w:r>
        <w:rPr>
          <w:rFonts w:hint="default" w:ascii="Times New Roman" w:hAnsi="Times New Roman" w:eastAsia="方正仿宋_GBK"/>
          <w:b w:val="0"/>
          <w:bCs/>
          <w:sz w:val="32"/>
          <w:szCs w:val="32"/>
          <w:shd w:val="clear" w:color="auto" w:fill="FFFFFF"/>
        </w:rPr>
        <w:t>较年初预算数增加368.61万元，增长302.9%</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上年城镇管网日常维护维修等项目在本级列支，今年纳入管线综合管理事务中心。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Times New Roman" w:hAnsi="Times New Roman" w:eastAsia="方正仿宋_GBK" w:cs="方正仿宋_GBK"/>
          <w:b w:val="0"/>
          <w:bCs/>
          <w:sz w:val="32"/>
          <w:szCs w:val="32"/>
          <w:highlight w:val="none"/>
          <w:shd w:val="clear" w:color="auto" w:fill="FFFFFF"/>
        </w:rPr>
      </w:pPr>
      <w:r>
        <w:rPr>
          <w:rFonts w:ascii="Times New Roman" w:hAnsi="Times New Roman" w:eastAsia="方正仿宋_GBK" w:cs="方正仿宋_GBK"/>
          <w:b w:val="0"/>
          <w:bCs/>
          <w:sz w:val="32"/>
          <w:szCs w:val="32"/>
          <w:highlight w:val="none"/>
          <w:shd w:val="clear" w:color="auto" w:fill="FFFFFF"/>
        </w:rPr>
        <w:t>一般公共预算财政拨款支出主要</w:t>
      </w:r>
      <w:r>
        <w:rPr>
          <w:rFonts w:hint="eastAsia" w:ascii="Times New Roman" w:hAnsi="Times New Roman" w:eastAsia="方正仿宋_GBK" w:cs="方正仿宋_GBK"/>
          <w:b w:val="0"/>
          <w:bCs/>
          <w:sz w:val="32"/>
          <w:szCs w:val="32"/>
          <w:highlight w:val="none"/>
          <w:shd w:val="clear" w:color="auto" w:fill="FFFFFF"/>
          <w:lang w:eastAsia="zh-CN"/>
        </w:rPr>
        <w:t>用途如下</w:t>
      </w:r>
      <w:r>
        <w:rPr>
          <w:rFonts w:ascii="Times New Roman" w:hAnsi="Times New Roman" w:eastAsia="方正仿宋_GBK" w:cs="方正仿宋_GBK"/>
          <w:b w:val="0"/>
          <w:bCs/>
          <w:sz w:val="32"/>
          <w:szCs w:val="32"/>
          <w:highlight w:val="none"/>
          <w:shd w:val="clear" w:color="auto" w:fill="FFFFFF"/>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1</w:t>
      </w:r>
      <w:r>
        <w:rPr>
          <w:rFonts w:ascii="Times New Roman" w:hAnsi="Times New Roman" w:eastAsia="方正仿宋_GBK" w:cs="方正仿宋_GBK"/>
          <w:b w:val="0"/>
          <w:bCs/>
          <w:sz w:val="32"/>
          <w:szCs w:val="32"/>
          <w:shd w:val="clear" w:color="auto" w:fill="FFFFFF"/>
        </w:rPr>
        <w:t>）社会保障</w:t>
      </w:r>
      <w:r>
        <w:rPr>
          <w:rFonts w:hint="eastAsia" w:ascii="Times New Roman" w:hAnsi="Times New Roman" w:eastAsia="方正仿宋_GBK" w:cs="方正仿宋_GBK"/>
          <w:b w:val="0"/>
          <w:bCs/>
          <w:sz w:val="32"/>
          <w:szCs w:val="32"/>
          <w:shd w:val="clear" w:color="auto" w:fill="FFFFFF"/>
          <w:lang w:eastAsia="zh-CN"/>
        </w:rPr>
        <w:t>和</w:t>
      </w:r>
      <w:r>
        <w:rPr>
          <w:rFonts w:ascii="Times New Roman" w:hAnsi="Times New Roman" w:eastAsia="方正仿宋_GBK" w:cs="方正仿宋_GBK"/>
          <w:b w:val="0"/>
          <w:bCs/>
          <w:sz w:val="32"/>
          <w:szCs w:val="32"/>
          <w:shd w:val="clear" w:color="auto" w:fill="FFFFFF"/>
        </w:rPr>
        <w:t>就业支出</w:t>
      </w:r>
      <w:r>
        <w:rPr>
          <w:rFonts w:hint="default" w:ascii="Times New Roman" w:hAnsi="Times New Roman" w:eastAsia="方正仿宋_GBK"/>
          <w:b w:val="0"/>
          <w:bCs/>
          <w:sz w:val="32"/>
          <w:szCs w:val="32"/>
          <w:shd w:val="clear" w:color="auto" w:fill="FFFFFF"/>
        </w:rPr>
        <w:t>12.95</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2.6%</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2</w:t>
      </w:r>
      <w:r>
        <w:rPr>
          <w:rFonts w:ascii="Times New Roman" w:hAnsi="Times New Roman" w:eastAsia="方正仿宋_GBK" w:cs="方正仿宋_GBK"/>
          <w:b w:val="0"/>
          <w:bCs/>
          <w:sz w:val="32"/>
          <w:szCs w:val="32"/>
          <w:shd w:val="clear" w:color="auto" w:fill="FFFFFF"/>
        </w:rPr>
        <w:t>）卫生健康支出</w:t>
      </w:r>
      <w:r>
        <w:rPr>
          <w:rFonts w:hint="default" w:ascii="Times New Roman" w:hAnsi="Times New Roman" w:eastAsia="方正仿宋_GBK"/>
          <w:b w:val="0"/>
          <w:bCs/>
          <w:sz w:val="32"/>
          <w:szCs w:val="32"/>
          <w:shd w:val="clear" w:color="auto" w:fill="FFFFFF"/>
        </w:rPr>
        <w:t>7.08</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1.4%</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3</w:t>
      </w:r>
      <w:r>
        <w:rPr>
          <w:rFonts w:ascii="Times New Roman" w:hAnsi="Times New Roman" w:eastAsia="方正仿宋_GBK" w:cs="方正仿宋_GBK"/>
          <w:b w:val="0"/>
          <w:bCs/>
          <w:sz w:val="32"/>
          <w:szCs w:val="32"/>
          <w:shd w:val="clear" w:color="auto" w:fill="FFFFFF"/>
        </w:rPr>
        <w:t>）城乡社区支出</w:t>
      </w:r>
      <w:r>
        <w:rPr>
          <w:rFonts w:hint="default" w:ascii="Times New Roman" w:hAnsi="Times New Roman" w:eastAsia="方正仿宋_GBK"/>
          <w:b w:val="0"/>
          <w:bCs/>
          <w:sz w:val="32"/>
          <w:szCs w:val="32"/>
          <w:shd w:val="clear" w:color="auto" w:fill="FFFFFF"/>
        </w:rPr>
        <w:t>463.75</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94.6%</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较年初预算数增加368.60万元，增长387.4%</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上年城镇管网日常维护维修等项目在本级列支，今年纳入管线综合管理事务中心。</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Times New Roman" w:hAnsi="Times New Roman" w:eastAsia="方正仿宋_GBK" w:cs="方正仿宋_GBK"/>
          <w:b w:val="0"/>
          <w:bCs/>
          <w:color w:val="FF0000"/>
          <w:sz w:val="32"/>
          <w:szCs w:val="32"/>
          <w:shd w:val="clear" w:color="auto" w:fill="FFFFFF"/>
          <w:lang w:eastAsia="zh-CN"/>
        </w:rPr>
      </w:pPr>
      <w:r>
        <w:rPr>
          <w:rFonts w:ascii="Times New Roman" w:hAnsi="Times New Roman"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4</w:t>
      </w:r>
      <w:r>
        <w:rPr>
          <w:rFonts w:ascii="Times New Roman" w:hAnsi="Times New Roman" w:eastAsia="方正仿宋_GBK" w:cs="方正仿宋_GBK"/>
          <w:b w:val="0"/>
          <w:bCs/>
          <w:sz w:val="32"/>
          <w:szCs w:val="32"/>
          <w:shd w:val="clear" w:color="auto" w:fill="FFFFFF"/>
        </w:rPr>
        <w:t>）</w:t>
      </w:r>
      <w:r>
        <w:rPr>
          <w:rFonts w:ascii="Times New Roman" w:hAnsi="Times New Roman" w:eastAsia="方正仿宋_GBK" w:cs="方正仿宋_GBK"/>
          <w:b w:val="0"/>
          <w:bCs/>
          <w:sz w:val="32"/>
          <w:szCs w:val="32"/>
        </w:rPr>
        <w:t>住房保障支出</w:t>
      </w:r>
      <w:r>
        <w:rPr>
          <w:rFonts w:hint="default" w:ascii="Times New Roman" w:hAnsi="Times New Roman" w:eastAsia="方正仿宋_GBK"/>
          <w:b w:val="0"/>
          <w:bCs/>
          <w:sz w:val="32"/>
          <w:szCs w:val="32"/>
          <w:shd w:val="clear" w:color="auto" w:fill="FFFFFF"/>
        </w:rPr>
        <w:t>6.51</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1.3%</w:t>
      </w:r>
      <w:r>
        <w:rPr>
          <w:rFonts w:ascii="Times New Roman" w:hAnsi="Times New Roman"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3</w:t>
      </w:r>
      <w:r>
        <w:rPr>
          <w:rStyle w:val="8"/>
          <w:rFonts w:ascii="Times New Roman" w:hAnsi="Times New Roman"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年度年末一般公共预算财政拨款结转和结余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ascii="Times New Roman" w:hAnsi="Times New Roman" w:eastAsia="方正仿宋_GBK" w:cs="Times New Roman"/>
          <w:b w:val="0"/>
          <w:bCs/>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年度一般公共财政拨款基本支出</w:t>
      </w:r>
      <w:r>
        <w:rPr>
          <w:rFonts w:hint="default" w:ascii="Times New Roman" w:hAnsi="Times New Roman" w:eastAsia="方正仿宋_GBK"/>
          <w:b w:val="0"/>
          <w:bCs/>
          <w:sz w:val="32"/>
          <w:szCs w:val="32"/>
          <w:shd w:val="clear" w:color="auto" w:fill="FFFFFF"/>
        </w:rPr>
        <w:t>118.19</w:t>
      </w:r>
      <w:r>
        <w:rPr>
          <w:rFonts w:ascii="Times New Roman" w:hAnsi="Times New Roman" w:eastAsia="方正仿宋_GBK" w:cs="方正仿宋_GBK"/>
          <w:b w:val="0"/>
          <w:bCs/>
          <w:sz w:val="32"/>
          <w:szCs w:val="32"/>
          <w:shd w:val="clear" w:color="auto" w:fill="FFFFFF"/>
        </w:rPr>
        <w:t>万元。其中：人员经费</w:t>
      </w:r>
      <w:r>
        <w:rPr>
          <w:rFonts w:hint="default" w:ascii="Times New Roman" w:hAnsi="Times New Roman" w:eastAsia="方正仿宋_GBK"/>
          <w:b w:val="0"/>
          <w:bCs/>
          <w:sz w:val="32"/>
          <w:szCs w:val="32"/>
          <w:shd w:val="clear" w:color="auto" w:fill="FFFFFF"/>
        </w:rPr>
        <w:t>109.14</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与2023年度相比，减少4.73万元，下降4.2%</w:t>
      </w:r>
      <w:r>
        <w:rPr>
          <w:rFonts w:ascii="Times New Roman" w:hAnsi="Times New Roman" w:eastAsia="方正仿宋_GBK" w:cs="方正仿宋_GBK"/>
          <w:b w:val="0"/>
          <w:bCs/>
          <w:sz w:val="32"/>
          <w:szCs w:val="32"/>
          <w:shd w:val="clear" w:color="auto" w:fill="FFFFFF"/>
        </w:rPr>
        <w:t>，主要原因</w:t>
      </w:r>
      <w:r>
        <w:rPr>
          <w:rFonts w:hint="eastAsia" w:ascii="Times New Roman" w:hAnsi="Times New Roman" w:eastAsia="方正仿宋_GBK" w:cs="方正仿宋_GBK"/>
          <w:b w:val="0"/>
          <w:bCs/>
          <w:sz w:val="32"/>
          <w:szCs w:val="32"/>
          <w:shd w:val="clear" w:color="auto" w:fill="FFFFFF"/>
          <w:lang w:val="en-US" w:eastAsia="zh-CN"/>
        </w:rPr>
        <w:t>是</w:t>
      </w:r>
      <w:r>
        <w:rPr>
          <w:rFonts w:hint="eastAsia" w:ascii="Times New Roman" w:hAnsi="Times New Roman" w:eastAsia="方正仿宋_GBK"/>
          <w:b w:val="0"/>
          <w:bCs/>
          <w:sz w:val="32"/>
          <w:szCs w:val="32"/>
          <w:shd w:val="clear" w:color="auto" w:fill="FFFFFF"/>
          <w:lang w:val="en-US" w:eastAsia="zh-CN"/>
        </w:rPr>
        <w:t>2024年</w:t>
      </w:r>
      <w:r>
        <w:rPr>
          <w:rFonts w:hint="eastAsia" w:ascii="Times New Roman" w:hAnsi="Times New Roman" w:eastAsia="方正仿宋_GBK" w:cs="方正仿宋_GBK"/>
          <w:b w:val="0"/>
          <w:bCs/>
          <w:sz w:val="32"/>
          <w:szCs w:val="32"/>
          <w:shd w:val="clear" w:color="auto" w:fill="FFFFFF"/>
          <w:lang w:val="en-US" w:eastAsia="zh-CN"/>
        </w:rPr>
        <w:t>减少通讯费发放。</w:t>
      </w:r>
      <w:r>
        <w:rPr>
          <w:rFonts w:ascii="Times New Roman" w:hAnsi="Times New Roman" w:eastAsia="方正仿宋_GBK" w:cs="方正仿宋_GBK"/>
          <w:b w:val="0"/>
          <w:bCs/>
          <w:sz w:val="32"/>
          <w:szCs w:val="32"/>
          <w:shd w:val="clear" w:color="auto" w:fill="FFFFFF"/>
        </w:rPr>
        <w:t>人员经费用途主要包括</w:t>
      </w:r>
      <w:r>
        <w:rPr>
          <w:rFonts w:ascii="Times New Roman" w:hAnsi="Times New Roman" w:eastAsia="方正仿宋_GBK" w:cs="Times New Roman"/>
          <w:b w:val="0"/>
          <w:bCs/>
          <w:sz w:val="32"/>
          <w:szCs w:val="32"/>
          <w:shd w:val="clear" w:color="auto" w:fill="FFFFFF"/>
        </w:rPr>
        <w:t>基本工资、津贴补贴、奖金、社会保障缴费。</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公用经费</w:t>
      </w:r>
      <w:r>
        <w:rPr>
          <w:rFonts w:hint="default" w:ascii="Times New Roman" w:hAnsi="Times New Roman" w:eastAsia="方正仿宋_GBK"/>
          <w:b w:val="0"/>
          <w:bCs/>
          <w:sz w:val="32"/>
          <w:szCs w:val="32"/>
          <w:shd w:val="clear" w:color="auto" w:fill="FFFFFF"/>
        </w:rPr>
        <w:t>9.05</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与2023年度相比，减少2.81万元，下降23.7%</w:t>
      </w:r>
      <w:r>
        <w:rPr>
          <w:rFonts w:ascii="Times New Roman" w:hAnsi="Times New Roman" w:eastAsia="方正仿宋_GBK" w:cs="方正仿宋_GBK"/>
          <w:b w:val="0"/>
          <w:bCs/>
          <w:sz w:val="32"/>
          <w:szCs w:val="32"/>
          <w:shd w:val="clear" w:color="auto" w:fill="FFFFFF"/>
        </w:rPr>
        <w:t>，主要原因</w:t>
      </w:r>
      <w:r>
        <w:rPr>
          <w:rFonts w:hint="eastAsia" w:ascii="Times New Roman" w:hAnsi="Times New Roman" w:eastAsia="方正仿宋_GBK" w:cs="方正仿宋_GBK"/>
          <w:b w:val="0"/>
          <w:bCs/>
          <w:sz w:val="32"/>
          <w:szCs w:val="32"/>
          <w:shd w:val="clear" w:color="auto" w:fill="FFFFFF"/>
          <w:lang w:eastAsia="zh-CN"/>
        </w:rPr>
        <w:t>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公用经费用途主要包括</w:t>
      </w:r>
      <w:r>
        <w:rPr>
          <w:rFonts w:ascii="Times New Roman" w:hAnsi="Times New Roman" w:eastAsia="方正仿宋_GBK" w:cs="Times New Roman"/>
          <w:b w:val="0"/>
          <w:bCs/>
          <w:sz w:val="32"/>
          <w:szCs w:val="32"/>
          <w:shd w:val="clear" w:color="auto" w:fill="FFFFFF"/>
        </w:rPr>
        <w:t>办公费、培训费、会议费、差旅费</w:t>
      </w:r>
      <w:r>
        <w:rPr>
          <w:rFonts w:hint="eastAsia" w:ascii="Times New Roman" w:hAnsi="Times New Roman" w:eastAsia="方正仿宋_GBK" w:cs="Times New Roman"/>
          <w:b w:val="0"/>
          <w:bCs/>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Style w:val="8"/>
          <w:rFonts w:ascii="Times New Roman" w:hAnsi="Times New Roman" w:eastAsia="方正仿宋_GBK" w:cs="方正仿宋_GBK"/>
          <w:b w:val="0"/>
          <w:bCs/>
          <w:sz w:val="32"/>
          <w:szCs w:val="32"/>
        </w:rPr>
      </w:pPr>
      <w:r>
        <w:rPr>
          <w:rStyle w:val="8"/>
          <w:rFonts w:ascii="Times New Roman" w:hAnsi="Times New Roman" w:eastAsia="方正仿宋_GBK" w:cs="方正仿宋_GBK"/>
          <w:b w:val="0"/>
          <w:bCs/>
          <w:sz w:val="32"/>
          <w:szCs w:val="32"/>
        </w:rPr>
        <w:t>本单位</w:t>
      </w:r>
      <w:r>
        <w:rPr>
          <w:rStyle w:val="8"/>
          <w:rFonts w:hint="default" w:ascii="Times New Roman" w:hAnsi="Times New Roman" w:eastAsia="方正仿宋_GBK" w:cs="Times New Roman"/>
          <w:b w:val="0"/>
          <w:bCs/>
          <w:sz w:val="32"/>
          <w:szCs w:val="32"/>
        </w:rPr>
        <w:t>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方正仿宋_GBK"/>
          <w:b w:val="0"/>
          <w:bCs/>
          <w:sz w:val="32"/>
          <w:szCs w:val="32"/>
        </w:rPr>
        <w:t>年度无政府性基金预算财政拨款收支。</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38" w:leftChars="266" w:firstLine="0" w:firstLineChars="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ascii="Times New Roman" w:hAnsi="Times New Roman" w:eastAsia="方正仿宋_GBK" w:cs="方正仿宋_GBK"/>
          <w:b w:val="0"/>
          <w:bCs/>
          <w:sz w:val="32"/>
          <w:szCs w:val="32"/>
        </w:rPr>
        <w:t>本单位</w:t>
      </w:r>
      <w:r>
        <w:rPr>
          <w:rStyle w:val="8"/>
          <w:rFonts w:hint="default" w:ascii="Times New Roman" w:hAnsi="Times New Roman" w:eastAsia="方正仿宋_GBK" w:cs="Times New Roman"/>
          <w:b w:val="0"/>
          <w:bCs/>
          <w:sz w:val="32"/>
          <w:szCs w:val="32"/>
        </w:rPr>
        <w:t>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方正仿宋_GBK"/>
          <w:b w:val="0"/>
          <w:bCs/>
          <w:sz w:val="32"/>
          <w:szCs w:val="32"/>
        </w:rPr>
        <w:t>年度无国有资本经营预算财政拨款支出。</w:t>
      </w: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0.50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较上年支出数减少0.08万元，下降13.8%</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因公出国（境）费用</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公务</w:t>
      </w:r>
      <w:r>
        <w:rPr>
          <w:rFonts w:hint="eastAsia" w:ascii="Times New Roman" w:hAnsi="Times New Roman" w:eastAsia="方正仿宋_GBK" w:cs="方正仿宋_GBK"/>
          <w:b w:val="0"/>
          <w:bCs/>
          <w:sz w:val="32"/>
          <w:szCs w:val="32"/>
          <w:shd w:val="clear" w:color="auto" w:fill="FFFFFF"/>
          <w:lang w:eastAsia="zh-CN"/>
        </w:rPr>
        <w:t>用</w:t>
      </w:r>
      <w:r>
        <w:rPr>
          <w:rFonts w:ascii="Times New Roman" w:hAnsi="Times New Roman" w:eastAsia="方正仿宋_GBK" w:cs="方正仿宋_GBK"/>
          <w:b w:val="0"/>
          <w:bCs/>
          <w:sz w:val="32"/>
          <w:szCs w:val="32"/>
          <w:shd w:val="clear" w:color="auto" w:fill="FFFFFF"/>
        </w:rPr>
        <w:t>车购置费</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lang w:eastAsia="zh-CN"/>
        </w:rPr>
      </w:pPr>
      <w:r>
        <w:rPr>
          <w:rFonts w:ascii="Times New Roman" w:hAnsi="Times New Roman" w:eastAsia="方正仿宋_GBK" w:cs="方正仿宋_GBK"/>
          <w:b w:val="0"/>
          <w:bCs/>
          <w:sz w:val="32"/>
          <w:szCs w:val="32"/>
          <w:shd w:val="clear" w:color="auto" w:fill="FFFFFF"/>
        </w:rPr>
        <w:t>公务</w:t>
      </w:r>
      <w:r>
        <w:rPr>
          <w:rFonts w:hint="eastAsia" w:ascii="Times New Roman" w:hAnsi="Times New Roman" w:eastAsia="方正仿宋_GBK" w:cs="方正仿宋_GBK"/>
          <w:b w:val="0"/>
          <w:bCs/>
          <w:sz w:val="32"/>
          <w:szCs w:val="32"/>
          <w:shd w:val="clear" w:color="auto" w:fill="FFFFFF"/>
          <w:lang w:eastAsia="zh-CN"/>
        </w:rPr>
        <w:t>用</w:t>
      </w:r>
      <w:r>
        <w:rPr>
          <w:rFonts w:ascii="Times New Roman" w:hAnsi="Times New Roman" w:eastAsia="方正仿宋_GBK" w:cs="方正仿宋_GBK"/>
          <w:b w:val="0"/>
          <w:bCs/>
          <w:sz w:val="32"/>
          <w:szCs w:val="32"/>
          <w:shd w:val="clear" w:color="auto" w:fill="FFFFFF"/>
        </w:rPr>
        <w:t>车运行维护费</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eastAsia" w:ascii="Times New Roman" w:hAnsi="Times New Roman" w:eastAsia="方正仿宋_GBK" w:cs="方正仿宋_GBK"/>
          <w:b w:val="0"/>
          <w:bCs/>
          <w:sz w:val="32"/>
          <w:szCs w:val="32"/>
          <w:shd w:val="clear" w:color="auto" w:fill="FFFFFF"/>
          <w:lang w:eastAsia="zh-CN"/>
        </w:rPr>
        <w:t>。</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公务接待费</w:t>
      </w:r>
      <w:r>
        <w:rPr>
          <w:rFonts w:hint="default" w:ascii="Times New Roman" w:hAnsi="Times New Roman" w:eastAsia="方正仿宋_GBK"/>
          <w:b w:val="0"/>
          <w:bCs/>
          <w:sz w:val="32"/>
          <w:szCs w:val="32"/>
          <w:shd w:val="clear" w:color="auto" w:fill="FFFFFF"/>
        </w:rPr>
        <w:t>0.50</w:t>
      </w:r>
      <w:r>
        <w:rPr>
          <w:rFonts w:ascii="Times New Roman" w:hAnsi="Times New Roman" w:eastAsia="方正仿宋_GBK" w:cs="方正仿宋_GBK"/>
          <w:b w:val="0"/>
          <w:bCs/>
          <w:sz w:val="32"/>
          <w:szCs w:val="32"/>
          <w:shd w:val="clear" w:color="auto" w:fill="FFFFFF"/>
        </w:rPr>
        <w:t>万元，主要用于接待</w:t>
      </w:r>
      <w:r>
        <w:rPr>
          <w:rFonts w:hint="eastAsia" w:ascii="Times New Roman" w:hAnsi="Times New Roman" w:eastAsia="方正仿宋_GBK" w:cs="方正仿宋_GBK"/>
          <w:b w:val="0"/>
          <w:bCs/>
          <w:sz w:val="32"/>
          <w:szCs w:val="32"/>
          <w:shd w:val="clear" w:color="auto" w:fill="FFFFFF"/>
          <w:lang w:val="en-US" w:eastAsia="zh-CN"/>
        </w:rPr>
        <w:t>市级部门指导检查工作开支。</w:t>
      </w:r>
      <w:r>
        <w:rPr>
          <w:rFonts w:ascii="Times New Roman" w:hAnsi="Times New Roman"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较上年支出数减少0.08万元，下降13.8%</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因公出国（境）共计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个团组，</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人；公务用车购置</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辆，公务车保有量为</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辆；国内公务接待</w:t>
      </w:r>
      <w:r>
        <w:rPr>
          <w:rFonts w:hint="default" w:ascii="Times New Roman" w:hAnsi="Times New Roman" w:eastAsia="方正仿宋_GBK"/>
          <w:b w:val="0"/>
          <w:bCs/>
          <w:sz w:val="32"/>
          <w:szCs w:val="32"/>
          <w:shd w:val="clear" w:color="auto" w:fill="FFFFFF"/>
        </w:rPr>
        <w:t>12</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66</w:t>
      </w:r>
      <w:r>
        <w:rPr>
          <w:rFonts w:ascii="Times New Roman" w:hAnsi="Times New Roman" w:eastAsia="方正仿宋_GBK" w:cs="方正仿宋_GBK"/>
          <w:b w:val="0"/>
          <w:bCs/>
          <w:sz w:val="32"/>
          <w:szCs w:val="32"/>
          <w:shd w:val="clear" w:color="auto" w:fill="FFFFFF"/>
        </w:rPr>
        <w:t>人，其中：国内外事接待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人；国（境）外公务接待</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人均接待费</w:t>
      </w:r>
      <w:r>
        <w:rPr>
          <w:rFonts w:hint="default" w:ascii="Times New Roman" w:hAnsi="Times New Roman" w:eastAsia="方正仿宋_GBK"/>
          <w:b w:val="0"/>
          <w:bCs/>
          <w:sz w:val="32"/>
          <w:szCs w:val="32"/>
          <w:shd w:val="clear" w:color="auto" w:fill="FFFFFF"/>
        </w:rPr>
        <w:t>75.76</w:t>
      </w:r>
      <w:r>
        <w:rPr>
          <w:rFonts w:ascii="Times New Roman" w:hAnsi="Times New Roman" w:eastAsia="方正仿宋_GBK" w:cs="方正仿宋_GBK"/>
          <w:b w:val="0"/>
          <w:bCs/>
          <w:sz w:val="32"/>
          <w:szCs w:val="32"/>
          <w:shd w:val="clear" w:color="auto" w:fill="FFFFFF"/>
        </w:rPr>
        <w:t>元，车均购置费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万元，车均维护费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color w:val="FF0000"/>
          <w:sz w:val="32"/>
          <w:szCs w:val="32"/>
        </w:rPr>
      </w:pPr>
      <w:r>
        <w:rPr>
          <w:rFonts w:ascii="Times New Roman" w:hAnsi="Times New Roman" w:eastAsia="方正仿宋_GBK" w:cs="方正仿宋_GBK"/>
          <w:b w:val="0"/>
          <w:bCs/>
          <w:sz w:val="32"/>
          <w:szCs w:val="32"/>
          <w:shd w:val="clear" w:color="auto" w:fill="FFFFFF"/>
        </w:rPr>
        <w:t>本年度会议费支出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本年度培训费支出</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与2023年度相比，减少0.27万元，下降100.0%</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r>
        <w:rPr>
          <w:rFonts w:ascii="Times New Roman" w:hAnsi="Times New Roman" w:eastAsia="方正仿宋_GBK" w:cs="方正仿宋_GBK"/>
          <w:b w:val="0"/>
          <w:bCs/>
          <w:sz w:val="32"/>
          <w:szCs w:val="32"/>
          <w:shd w:val="clear" w:color="auto" w:fill="FFFFFF"/>
        </w:rPr>
        <w:t>本年度差旅费支出</w:t>
      </w:r>
      <w:r>
        <w:rPr>
          <w:rFonts w:hint="default" w:ascii="Times New Roman" w:hAnsi="Times New Roman" w:eastAsia="方正仿宋_GBK"/>
          <w:b w:val="0"/>
          <w:bCs/>
          <w:sz w:val="32"/>
          <w:szCs w:val="32"/>
          <w:shd w:val="clear" w:color="auto" w:fill="FFFFFF"/>
        </w:rPr>
        <w:t>1.50</w:t>
      </w:r>
      <w:r>
        <w:rPr>
          <w:rFonts w:ascii="Times New Roman" w:hAnsi="Times New Roman" w:eastAsia="方正仿宋_GBK" w:cs="方正仿宋_GBK"/>
          <w:b w:val="0"/>
          <w:bCs/>
          <w:sz w:val="32"/>
          <w:szCs w:val="32"/>
        </w:rPr>
        <w:t>万元，</w:t>
      </w:r>
      <w:r>
        <w:rPr>
          <w:rFonts w:hint="default" w:ascii="Times New Roman" w:hAnsi="Times New Roman" w:eastAsia="方正仿宋_GBK"/>
          <w:b w:val="0"/>
          <w:bCs/>
          <w:sz w:val="32"/>
          <w:szCs w:val="32"/>
          <w:shd w:val="clear" w:color="auto" w:fill="FFFFFF"/>
        </w:rPr>
        <w:t>与2023年度相比，增加0.20万元，增长15.4%</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我单位是住建委下属单位，部门合并办公，各项日常经费由本级统一核算。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方正仿宋_GBK"/>
          <w:b w:val="0"/>
          <w:bCs/>
          <w:sz w:val="32"/>
          <w:szCs w:val="32"/>
        </w:rPr>
      </w:pPr>
      <w:r>
        <w:rPr>
          <w:rFonts w:hint="default" w:ascii="Times New Roman" w:hAnsi="Times New Roman" w:eastAsia="方正仿宋_GBK" w:cs="方正仿宋_GBK"/>
          <w:b w:val="0"/>
          <w:bCs/>
          <w:sz w:val="32"/>
          <w:szCs w:val="32"/>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Fonts w:ascii="Times New Roman" w:hAnsi="Times New Roman"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Times New Roman" w:hAnsi="Times New Roman"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Times New Roman" w:hAnsi="Times New Roman" w:eastAsia="方正仿宋_GBK" w:cs="方正仿宋_GBK"/>
          <w:b w:val="0"/>
          <w:bCs/>
          <w:sz w:val="32"/>
          <w:szCs w:val="32"/>
          <w:shd w:val="clear" w:color="auto" w:fill="FFFFFF"/>
        </w:rPr>
        <w:t>日，本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共有车辆</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eastAsia" w:ascii="Times New Roman" w:hAnsi="Times New Roman" w:eastAsia="方正仿宋_GBK"/>
          <w:b w:val="0"/>
          <w:bCs/>
          <w:sz w:val="32"/>
          <w:szCs w:val="32"/>
          <w:shd w:val="clear" w:color="auto" w:fill="FFFFFF"/>
          <w:lang w:val="en-US" w:eastAsia="zh-CN"/>
        </w:rPr>
        <w:t>.00</w:t>
      </w:r>
      <w:bookmarkStart w:id="0" w:name="_GoBack"/>
      <w:bookmarkEnd w:id="0"/>
      <w:r>
        <w:rPr>
          <w:rFonts w:ascii="Times New Roman" w:hAnsi="Times New Roman"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Times New Roman" w:hAnsi="Times New Roman" w:eastAsia="方正仿宋_GBK" w:cs="方正仿宋_GBK"/>
          <w:b w:val="0"/>
          <w:bCs/>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11"/>
        <w:keepNext w:val="0"/>
        <w:keepLines w:val="0"/>
        <w:pageBreakBefore w:val="0"/>
        <w:widowControl/>
        <w:kinsoku/>
        <w:wordWrap/>
        <w:overflowPunct/>
        <w:topLinePunct w:val="0"/>
        <w:autoSpaceDE w:val="0"/>
        <w:autoSpaceDN/>
        <w:bidi w:val="0"/>
        <w:adjustRightInd/>
        <w:snapToGrid/>
        <w:spacing w:line="560" w:lineRule="exact"/>
        <w:ind w:left="638" w:leftChars="266" w:firstLine="0" w:firstLineChars="0"/>
        <w:jc w:val="both"/>
        <w:textAlignment w:val="auto"/>
        <w:rPr>
          <w:rStyle w:val="8"/>
          <w:rFonts w:hint="eastAsia" w:ascii="方正黑体_GBK" w:hAnsi="方正黑体_GBK" w:eastAsia="方正黑体_GBK" w:cs="方正黑体_GBK"/>
          <w:b w:val="0"/>
          <w:bCs/>
          <w:sz w:val="32"/>
          <w:szCs w:val="32"/>
          <w:shd w:val="clear" w:color="auto" w:fill="FFFFFF"/>
          <w:lang w:val="en-US" w:eastAsia="zh-CN" w:bidi="ar-SA"/>
        </w:rPr>
      </w:pPr>
      <w:r>
        <w:rPr>
          <w:rFonts w:hint="default" w:ascii="Times New Roman" w:hAnsi="Times New Roman" w:eastAsia="方正仿宋_GBK" w:cs="Times New Roman"/>
          <w:b w:val="0"/>
          <w:bCs/>
          <w:sz w:val="32"/>
          <w:szCs w:val="32"/>
          <w:shd w:val="clear" w:color="auto" w:fill="FFFFFF"/>
        </w:rPr>
        <w:t>202</w:t>
      </w:r>
      <w:r>
        <w:rPr>
          <w:rFonts w:hint="eastAsia" w:ascii="Times New Roman" w:hAnsi="Times New Roman" w:eastAsia="方正仿宋_GBK" w:cs="Times New Roman"/>
          <w:b w:val="0"/>
          <w:bCs/>
          <w:sz w:val="32"/>
          <w:szCs w:val="32"/>
          <w:shd w:val="clear" w:color="auto" w:fill="FFFFFF"/>
          <w:lang w:val="en-US" w:eastAsia="zh-CN"/>
        </w:rPr>
        <w:t>4</w:t>
      </w:r>
      <w:r>
        <w:rPr>
          <w:rFonts w:ascii="Times New Roman" w:hAnsi="Times New Roman" w:eastAsia="方正仿宋_GBK" w:cs="方正仿宋_GBK"/>
          <w:b w:val="0"/>
          <w:bCs/>
          <w:sz w:val="32"/>
          <w:szCs w:val="32"/>
          <w:shd w:val="clear" w:color="auto" w:fill="FFFFFF"/>
        </w:rPr>
        <w:t>年度我单位未发生政府采购事项，无相关经费支出。</w:t>
      </w:r>
      <w:r>
        <w:rPr>
          <w:rStyle w:val="8"/>
          <w:rFonts w:hint="eastAsia" w:ascii="方正黑体_GBK" w:hAnsi="方正黑体_GBK" w:eastAsia="方正黑体_GBK" w:cs="方正黑体_GBK"/>
          <w:b w:val="0"/>
          <w:bCs/>
          <w:sz w:val="32"/>
          <w:szCs w:val="32"/>
          <w:shd w:val="clear" w:color="auto" w:fill="FFFFFF"/>
        </w:rPr>
        <w:t>五、</w:t>
      </w:r>
      <w:r>
        <w:rPr>
          <w:rStyle w:val="8"/>
          <w:rFonts w:hint="eastAsia" w:ascii="方正黑体_GBK" w:hAnsi="方正黑体_GBK" w:eastAsia="方正黑体_GBK" w:cs="方正黑体_GBK"/>
          <w:b w:val="0"/>
          <w:bCs/>
          <w:sz w:val="32"/>
          <w:szCs w:val="32"/>
          <w:shd w:val="clear" w:color="auto" w:fill="FFFFFF"/>
          <w:lang w:eastAsia="zh-CN"/>
        </w:rPr>
        <w:t>预算</w:t>
      </w:r>
      <w:r>
        <w:rPr>
          <w:rStyle w:val="8"/>
          <w:rFonts w:hint="eastAsia" w:ascii="方正黑体_GBK" w:hAnsi="方正黑体_GBK" w:eastAsia="方正黑体_GBK" w:cs="方正黑体_GBK"/>
          <w:b w:val="0"/>
          <w:bCs/>
          <w:sz w:val="32"/>
          <w:szCs w:val="32"/>
          <w:shd w:val="clear" w:color="auto" w:fill="FFFFFF"/>
          <w:lang w:val="en-US" w:eastAsia="zh-CN" w:bidi="ar-SA"/>
        </w:rPr>
        <w:t>绩效管理情况说明</w:t>
      </w:r>
    </w:p>
    <w:p>
      <w:pPr>
        <w:pStyle w:val="11"/>
        <w:keepNext w:val="0"/>
        <w:keepLines w:val="0"/>
        <w:pageBreakBefore w:val="0"/>
        <w:widowControl/>
        <w:numPr>
          <w:ilvl w:val="0"/>
          <w:numId w:val="1"/>
        </w:numPr>
        <w:kinsoku/>
        <w:wordWrap/>
        <w:overflowPunct/>
        <w:topLinePunct w:val="0"/>
        <w:autoSpaceDE w:val="0"/>
        <w:bidi w:val="0"/>
        <w:spacing w:line="560" w:lineRule="exact"/>
        <w:ind w:firstLine="640"/>
        <w:jc w:val="both"/>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楷体" w:cs="楷体"/>
          <w:b w:val="0"/>
          <w:bCs/>
          <w:sz w:val="32"/>
          <w:szCs w:val="32"/>
          <w:shd w:val="clear" w:color="auto" w:fill="FFFFFF"/>
          <w:lang w:val="en-US" w:eastAsia="zh-CN" w:bidi="ar"/>
        </w:rPr>
      </w:pPr>
      <w:r>
        <w:rPr>
          <w:rFonts w:hint="eastAsia" w:ascii="Times New Roman" w:hAnsi="Times New Roman" w:eastAsia="方正仿宋_GBK" w:cs="方正仿宋_GBK"/>
          <w:b w:val="0"/>
          <w:bCs/>
          <w:sz w:val="32"/>
          <w:szCs w:val="32"/>
          <w:shd w:val="clear" w:color="auto" w:fill="FFFFFF"/>
        </w:rPr>
        <w:t>根据预算绩效管理要求，我单位无项目绩效自评，项目绩效纳入县住房和城乡建委（机关）进行自评。</w:t>
      </w:r>
    </w:p>
    <w:p>
      <w:pPr>
        <w:pStyle w:val="11"/>
        <w:keepNext w:val="0"/>
        <w:keepLines w:val="0"/>
        <w:pageBreakBefore w:val="0"/>
        <w:widowControl/>
        <w:kinsoku/>
        <w:wordWrap/>
        <w:overflowPunct/>
        <w:topLinePunct w:val="0"/>
        <w:autoSpaceDE w:val="0"/>
        <w:bidi w:val="0"/>
        <w:spacing w:line="560" w:lineRule="exact"/>
        <w:ind w:firstLine="640"/>
        <w:jc w:val="both"/>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（二）</w:t>
      </w: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绩效评价情况</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Times New Roman" w:hAnsi="Times New Roman" w:eastAsia="方正仿宋_GBK" w:cs="方正仿宋_GBK"/>
          <w:b w:val="0"/>
          <w:bCs/>
          <w:sz w:val="32"/>
          <w:szCs w:val="32"/>
          <w:shd w:val="clear" w:color="auto" w:fill="FFFFFF"/>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六</w:t>
      </w:r>
      <w:r>
        <w:rPr>
          <w:rStyle w:val="8"/>
          <w:rFonts w:hint="eastAsia" w:ascii="方正黑体_GBK" w:hAnsi="方正黑体_GBK" w:eastAsia="方正黑体_GBK" w:cs="方正黑体_GBK"/>
          <w:b w:val="0"/>
          <w:bCs/>
          <w:sz w:val="32"/>
          <w:szCs w:val="32"/>
          <w:shd w:val="clear" w:color="auto" w:fill="FFFFFF"/>
        </w:rPr>
        <w:t>、专业名词解释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（一）财政拨款收入：</w:t>
      </w:r>
      <w:r>
        <w:rPr>
          <w:rFonts w:hint="eastAsia" w:ascii="Times New Roman" w:hAnsi="Times New Roman" w:eastAsia="方正仿宋_GBK" w:cs="方正仿宋_GBK"/>
          <w:b w:val="0"/>
          <w:bCs/>
          <w:sz w:val="32"/>
          <w:szCs w:val="32"/>
          <w:shd w:val="clear" w:color="auto" w:fill="FFFFFF"/>
        </w:rPr>
        <w:t>指本年度从本级财政部门取得的财政拨款。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（二）基本支出：</w:t>
      </w:r>
      <w:r>
        <w:rPr>
          <w:rFonts w:hint="eastAsia" w:ascii="Times New Roman" w:hAnsi="Times New Roman"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w:t>
      </w:r>
      <w:r>
        <w:rPr>
          <w:rFonts w:hint="eastAsia" w:ascii="Times New Roman" w:hAnsi="Times New Roman" w:eastAsia="方正仿宋_GBK" w:cs="方正仿宋_GBK"/>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（四）工资福利支出（支出经济分类科目类级）：</w:t>
      </w:r>
      <w:r>
        <w:rPr>
          <w:rFonts w:hint="eastAsia" w:ascii="Times New Roman" w:hAnsi="Times New Roman"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（五）商品和服务支出（支出经济分类科目类级）：</w:t>
      </w:r>
      <w:r>
        <w:rPr>
          <w:rFonts w:hint="eastAsia" w:ascii="Times New Roman" w:hAnsi="Times New Roman" w:eastAsia="方正仿宋_GBK" w:cs="方正仿宋_GBK"/>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楷体"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（六）对个人和家庭的补助（支出经济分类科目类级）：</w:t>
      </w:r>
      <w:r>
        <w:rPr>
          <w:rFonts w:hint="eastAsia" w:ascii="Times New Roman" w:hAnsi="Times New Roman" w:eastAsia="方正仿宋_GBK" w:cs="方正仿宋_GBK"/>
          <w:b w:val="0"/>
          <w:bCs/>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七</w:t>
      </w:r>
      <w:r>
        <w:rPr>
          <w:rStyle w:val="8"/>
          <w:rFonts w:hint="eastAsia" w:ascii="方正黑体_GBK" w:hAnsi="方正黑体_GBK" w:eastAsia="方正黑体_GBK" w:cs="方正黑体_GBK"/>
          <w:b w:val="0"/>
          <w:bCs/>
          <w:sz w:val="32"/>
          <w:szCs w:val="32"/>
          <w:shd w:val="clear" w:color="auto" w:fill="FFFFFF"/>
        </w:rPr>
        <w:t>、决算公开联系方式及信息反馈渠道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8"/>
          <w:rFonts w:hint="eastAsia" w:ascii="Times New Roman" w:hAnsi="Times New Roman" w:eastAsia="方正仿宋_GBK" w:cs="方正仿宋_GBK"/>
          <w:b w:val="0"/>
          <w:bCs/>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cs="方正仿宋_GBK"/>
          <w:b w:val="0"/>
          <w:bCs/>
          <w:sz w:val="32"/>
          <w:szCs w:val="32"/>
          <w:shd w:val="clear" w:color="auto" w:fill="FFFFFF"/>
        </w:rPr>
        <w:t>本</w:t>
      </w:r>
      <w:r>
        <w:rPr>
          <w:rFonts w:hint="eastAsia" w:ascii="Times New Roman" w:hAnsi="Times New Roman" w:eastAsia="方正仿宋_GBK" w:cs="方正仿宋_GBK"/>
          <w:b w:val="0"/>
          <w:bCs/>
          <w:sz w:val="32"/>
          <w:szCs w:val="32"/>
          <w:shd w:val="clear" w:color="auto" w:fill="FFFFFF"/>
          <w:lang w:eastAsia="zh-CN"/>
        </w:rPr>
        <w:t>单位</w:t>
      </w:r>
      <w:r>
        <w:rPr>
          <w:rFonts w:ascii="Times New Roman" w:hAnsi="Times New Roman" w:eastAsia="方正仿宋_GBK" w:cs="方正仿宋_GBK"/>
          <w:b w:val="0"/>
          <w:bCs/>
          <w:sz w:val="32"/>
          <w:szCs w:val="32"/>
          <w:shd w:val="clear" w:color="auto" w:fill="FFFFFF"/>
        </w:rPr>
        <w:t>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023-7667150</w:t>
      </w:r>
      <w:r>
        <w:rPr>
          <w:rFonts w:hint="eastAsia" w:ascii="Times New Roman" w:hAnsi="Times New Roman" w:eastAsia="方正仿宋_GBK" w:cs="Times New Roman"/>
          <w:b w:val="0"/>
          <w:bCs/>
          <w:color w:val="auto"/>
          <w:sz w:val="32"/>
          <w:szCs w:val="32"/>
          <w:shd w:val="clear" w:color="auto" w:fill="FFFFFF"/>
          <w:lang w:val="en-US" w:eastAsia="zh-CN"/>
        </w:rPr>
        <w:t>8</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秀山土家族苗族自治县管线综合管理事务中心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490.29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193.93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657.68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684.22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684.22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684.22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684.22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秀山土家族苗族自治县管线综合管理事务中心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684.22</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684.22</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657.68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657.68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340.00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城市防洪</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秀山土家族苗族自治县管线综合管理事务中心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684.22</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118.19</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566.03</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657.68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566.03</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91.65</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32.10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166.79</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85.65</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城市防洪</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秀山土家族苗族自治县管线综合管理事务中心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490.29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193.93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657.68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463.75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193.93</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684.22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684.22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193.93</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684.22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684.22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193.93</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秀山土家族苗族自治县管线综合管理事务中心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490.29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118.19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372.10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463.75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91.65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372.10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91.65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91.65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91.65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91.65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32.10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秀山土家族苗族自治县管线综合管理事务中心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109.14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109.14</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9.05</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秀山土家族苗族自治县管线综合管理事务中心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193.93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193.93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193.93</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193.93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193.93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193.93</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166.79</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166.79</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166.79</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85.65</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85.65</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85.65</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城市防洪</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污水处理费安排的支出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2121401</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污水处理设施建设和运营</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秀山土家族苗族自治县管线综合管理事务中心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秀山土家族苗族自治县管线综合管理事务中心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2C9DF"/>
    <w:multiLevelType w:val="singleLevel"/>
    <w:tmpl w:val="9712C9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98655B"/>
    <w:rsid w:val="01F3521E"/>
    <w:rsid w:val="036E2DA9"/>
    <w:rsid w:val="03B87EA0"/>
    <w:rsid w:val="03E3214F"/>
    <w:rsid w:val="044C50BA"/>
    <w:rsid w:val="05BC6D49"/>
    <w:rsid w:val="06194FF1"/>
    <w:rsid w:val="062B0F06"/>
    <w:rsid w:val="06A2550B"/>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D3C60"/>
    <w:rsid w:val="107B59E5"/>
    <w:rsid w:val="10AF3E76"/>
    <w:rsid w:val="10EC0126"/>
    <w:rsid w:val="10F70B9A"/>
    <w:rsid w:val="111445C7"/>
    <w:rsid w:val="114278C6"/>
    <w:rsid w:val="1158083A"/>
    <w:rsid w:val="11643A4B"/>
    <w:rsid w:val="11ED0F98"/>
    <w:rsid w:val="11F03528"/>
    <w:rsid w:val="120B3833"/>
    <w:rsid w:val="12C921C4"/>
    <w:rsid w:val="13871C70"/>
    <w:rsid w:val="13A71CB4"/>
    <w:rsid w:val="13AF1D43"/>
    <w:rsid w:val="13CE1647"/>
    <w:rsid w:val="13FD55AB"/>
    <w:rsid w:val="14200702"/>
    <w:rsid w:val="14370EA1"/>
    <w:rsid w:val="145D6F41"/>
    <w:rsid w:val="15A715E3"/>
    <w:rsid w:val="163A6CEE"/>
    <w:rsid w:val="173708E3"/>
    <w:rsid w:val="17C374FC"/>
    <w:rsid w:val="182E4AB6"/>
    <w:rsid w:val="189079DC"/>
    <w:rsid w:val="189B0D0B"/>
    <w:rsid w:val="18B43F7C"/>
    <w:rsid w:val="191C433B"/>
    <w:rsid w:val="194A1770"/>
    <w:rsid w:val="1965161B"/>
    <w:rsid w:val="19863F29"/>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417B6"/>
    <w:rsid w:val="24B92327"/>
    <w:rsid w:val="24C14514"/>
    <w:rsid w:val="2533755C"/>
    <w:rsid w:val="25791755"/>
    <w:rsid w:val="26396DF4"/>
    <w:rsid w:val="264A4D39"/>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994DD3"/>
    <w:rsid w:val="5DA80C2C"/>
    <w:rsid w:val="5DE916B2"/>
    <w:rsid w:val="5EEE6B8B"/>
    <w:rsid w:val="5F2D4A41"/>
    <w:rsid w:val="60C74F6C"/>
    <w:rsid w:val="61015958"/>
    <w:rsid w:val="61025A59"/>
    <w:rsid w:val="613D5BBC"/>
    <w:rsid w:val="61536C39"/>
    <w:rsid w:val="61894431"/>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7A664A"/>
    <w:rsid w:val="79A031D5"/>
    <w:rsid w:val="79B47FDF"/>
    <w:rsid w:val="79E569A9"/>
    <w:rsid w:val="7A1525F7"/>
    <w:rsid w:val="7B420052"/>
    <w:rsid w:val="7BD06A28"/>
    <w:rsid w:val="7C3A7C0B"/>
    <w:rsid w:val="7C5248E4"/>
    <w:rsid w:val="7C566698"/>
    <w:rsid w:val="7C5866A3"/>
    <w:rsid w:val="7D5D103A"/>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0</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111</cp:lastModifiedBy>
  <dcterms:modified xsi:type="dcterms:W3CDTF">2025-09-29T09:59:21Z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