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秀山土家族苗族自治县公路事务中心</w:t>
      </w:r>
    </w:p>
    <w:p>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textAlignment w:val="auto"/>
        <w:rPr>
          <w:rStyle w:val="8"/>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0"/>
          <w:sz w:val="32"/>
          <w:szCs w:val="32"/>
          <w:shd w:val="clear" w:fill="FFFFFF"/>
        </w:rPr>
        <w:t>经秀山土家族苗族自治县委编办审核，2019年第2次秀山县委编委会议审定，秀山土家族苗族自治县公路局更名为秀山土家族苗族自治县公路养护中心。2020年8月经第3次秀山县委编委会研究，秀山土家族苗族自治县公路养护中心更名为秀山土家族苗族自治县公路事务中心，为秀山土家族苗族自治县交通局管理的公益一类正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1.做好本辖区国、省、县公路养护服务工作，开展养护质量动态监测和评定，分析公路设施使用状况，提出公路设施改造或改善方案。保持公路完好、平整、畅通，提高公路的耐久性和抗灾能力。</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2.承担本辖区国、省、县公路及交通主管部门安排的损毁公路和桥梁隧道抢险加固、公路灾害应急保通工作；承担公路应急抢险队伍建设和公路应急物资储备。</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3.承担本辖区国、省、县公路桥隧的专业化安全监测工作，履行桥隧管养单位职责。</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4.实施公路养护技术规范，做好安全生产、养护技术培训和新技术推广，推进道路养护信息化、数字化建设，确保列养公路维修养护质量和生产安全。</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5.承担本辖区国、省、县公路绿化工作，公路行业统计、普查、数据库建设和维护等具体事务性工作。</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6.承担公路的小修保养、中修养护工程任务，根据养护工作年度计划组织采购和管理养护材料、机具，完成交通主管部门下达的大修养护工程计划任务。</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7.承担公路人才队伍建设、行业文明创建和公路文化建设，推进养护科技化、规范化发展。</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8.组织实施列养公路及其附属设施的日常巡查工作。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fill="FFFFFF"/>
        </w:rPr>
        <w:t>9.承办上级交办的其他事项。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（二）机构设置</w:t>
      </w:r>
    </w:p>
    <w:p>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60" w:lineRule="exact"/>
        <w:ind w:right="0"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shd w:val="clear" w:fill="FFFFFF"/>
        </w:rPr>
        <w:t>秀山土家族苗族自治县公路事务中心下设六个科室（办公室、财务科、养护科、法制安全科、建管科、路政巡查科）。核定秀山土家族苗族自治县公路事务中心财政全额拨款事业编制</w:t>
      </w:r>
      <w:r>
        <w:rPr>
          <w:rFonts w:hint="default" w:ascii="Times New Roman" w:hAnsi="Times New Roman" w:eastAsia="方正仿宋_GBK" w:cs="Times New Roman"/>
          <w:kern w:val="0"/>
          <w:sz w:val="32"/>
          <w:szCs w:val="32"/>
          <w:shd w:val="clear" w:fill="FFFFFF"/>
          <w:lang w:val="en-US" w:eastAsia="zh-CN"/>
        </w:rPr>
        <w:t>146</w:t>
      </w:r>
      <w:r>
        <w:rPr>
          <w:rFonts w:hint="default" w:ascii="Times New Roman" w:hAnsi="Times New Roman" w:eastAsia="方正仿宋_GBK" w:cs="Times New Roman"/>
          <w:kern w:val="0"/>
          <w:sz w:val="32"/>
          <w:szCs w:val="32"/>
          <w:shd w:val="clear" w:fill="FFFFFF"/>
        </w:rPr>
        <w:t>名，其中：领导职数4名（1正3副），工作机构领导职数10名。本单位无下级预算单位。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4894.25万元。收、支与2023年度相比，减少728.92万元，下降13.0%，主要原因是</w:t>
      </w:r>
      <w:r>
        <w:rPr>
          <w:rFonts w:hint="default" w:ascii="Times New Roman" w:hAnsi="Times New Roman" w:eastAsia="方正仿宋_GBK" w:cs="Times New Roman"/>
          <w:sz w:val="32"/>
          <w:szCs w:val="32"/>
          <w:shd w:val="clear" w:color="auto" w:fill="FFFFFF"/>
          <w:lang w:eastAsia="zh-CN"/>
        </w:rPr>
        <w:t>使用市级项目资金减少。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lang w:val="en-US" w:eastAsia="zh-CN"/>
        </w:rPr>
        <w:t>1</w:t>
      </w:r>
      <w:r>
        <w:rPr>
          <w:rStyle w:val="8"/>
          <w:rFonts w:hint="default" w:ascii="Times New Roman" w:hAnsi="Times New Roman" w:eastAsia="方正仿宋_GBK" w:cs="Times New Roman"/>
          <w:b w:val="0"/>
          <w:bCs/>
          <w:sz w:val="32"/>
          <w:szCs w:val="32"/>
          <w:shd w:val="clear" w:color="auto" w:fill="FFFFFF"/>
        </w:rPr>
        <w:t>.收入情况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2024年度收入合计4869.74万元，与2023年度相比，减少304.58万元，下降5.9%，主要原因是</w:t>
      </w:r>
      <w:r>
        <w:rPr>
          <w:rFonts w:hint="default" w:ascii="Times New Roman" w:hAnsi="Times New Roman" w:eastAsia="方正仿宋_GBK" w:cs="Times New Roman"/>
          <w:sz w:val="32"/>
          <w:szCs w:val="32"/>
          <w:shd w:val="clear" w:color="auto" w:fill="FFFFFF"/>
          <w:lang w:eastAsia="zh-CN"/>
        </w:rPr>
        <w:t>公路养护减少项目资金收入。</w:t>
      </w:r>
      <w:r>
        <w:rPr>
          <w:rFonts w:hint="default" w:ascii="Times New Roman" w:hAnsi="Times New Roman" w:eastAsia="方正仿宋_GBK" w:cs="Times New Roman"/>
          <w:sz w:val="32"/>
          <w:szCs w:val="32"/>
          <w:shd w:val="clear" w:color="auto" w:fill="FFFFFF"/>
        </w:rPr>
        <w:t>其中：财政拨款收入4869.74万元，占100.0%；事业收入0.00万元，占0.0%；经营收入0.00万元，占0.0%；其他收入0.00万元，占0.0%。此外，使用非财政拨款结余（含专用结余）0.00万元，年初结转和结余24.51万元。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lang w:val="en-US" w:eastAsia="zh-CN"/>
        </w:rPr>
        <w:t>2</w:t>
      </w:r>
      <w:r>
        <w:rPr>
          <w:rStyle w:val="8"/>
          <w:rFonts w:hint="default" w:ascii="Times New Roman" w:hAnsi="Times New Roman" w:eastAsia="方正仿宋_GBK" w:cs="Times New Roman"/>
          <w:b w:val="0"/>
          <w:bCs/>
          <w:sz w:val="32"/>
          <w:szCs w:val="32"/>
          <w:shd w:val="clear" w:color="auto" w:fill="FFFFFF"/>
        </w:rPr>
        <w:t>.支出情况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2024年度支出合计4894.25万元，与2023年度相比，减少728.92万元，下降13.0%，主要原因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rPr>
        <w:t>社会保障和就业支出</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143.44</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20.73</w:t>
      </w:r>
      <w:r>
        <w:rPr>
          <w:rFonts w:hint="default" w:ascii="Times New Roman" w:hAnsi="Times New Roman" w:eastAsia="方正仿宋_GBK" w:cs="Times New Roman"/>
          <w:sz w:val="32"/>
          <w:szCs w:val="32"/>
        </w:rPr>
        <w:t>万元，城乡社区支出</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90.57</w:t>
      </w:r>
      <w:r>
        <w:rPr>
          <w:rFonts w:hint="default" w:ascii="Times New Roman" w:hAnsi="Times New Roman" w:eastAsia="方正仿宋_GBK" w:cs="Times New Roman"/>
          <w:sz w:val="32"/>
          <w:szCs w:val="32"/>
        </w:rPr>
        <w:t>万元，交通运输支出</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790.23</w:t>
      </w:r>
      <w:r>
        <w:rPr>
          <w:rFonts w:hint="default" w:ascii="Times New Roman" w:hAnsi="Times New Roman" w:eastAsia="方正仿宋_GBK" w:cs="Times New Roman"/>
          <w:sz w:val="32"/>
          <w:szCs w:val="32"/>
        </w:rPr>
        <w:t>万元，住房保障支出</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12.31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其中：基本支出3475.99万元，占71.0%；项目支出1418.25万元，占29.0%；经营支出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FFFFFF"/>
          <w:lang w:val="en-US" w:eastAsia="zh-CN"/>
        </w:rPr>
        <w:t>3</w:t>
      </w:r>
      <w:r>
        <w:rPr>
          <w:rStyle w:val="8"/>
          <w:rFonts w:hint="default" w:ascii="Times New Roman" w:hAnsi="Times New Roman" w:eastAsia="方正仿宋_GBK" w:cs="Times New Roman"/>
          <w:b w:val="0"/>
          <w:bCs/>
          <w:sz w:val="32"/>
          <w:szCs w:val="32"/>
          <w:shd w:val="clear" w:color="auto" w:fill="FFFFFF"/>
        </w:rPr>
        <w:t>.结转结余情况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w:t>
      </w:r>
      <w:r>
        <w:rPr>
          <w:rFonts w:hint="default" w:ascii="Times New Roman" w:hAnsi="Times New Roman" w:eastAsia="方正仿宋_GBK" w:cs="Times New Roman"/>
          <w:sz w:val="32"/>
          <w:szCs w:val="32"/>
          <w:shd w:val="clear" w:color="auto" w:fill="FFFFFF"/>
          <w:lang w:eastAsia="zh-CN"/>
        </w:rPr>
        <w:t>年末无结转和结余。</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2024年度财政拨款收、支总计均为4894.25万元。与2023年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相比，财政拨款收、支总计各减少728.92万元，下降13.0%。主要原因是</w:t>
      </w:r>
      <w:r>
        <w:rPr>
          <w:rFonts w:hint="default" w:ascii="Times New Roman" w:hAnsi="Times New Roman" w:eastAsia="方正仿宋_GBK" w:cs="Times New Roman"/>
          <w:kern w:val="0"/>
          <w:sz w:val="32"/>
          <w:szCs w:val="32"/>
          <w:shd w:val="clear" w:fill="FFFFFF"/>
        </w:rPr>
        <w:t>本年</w:t>
      </w:r>
      <w:r>
        <w:rPr>
          <w:rFonts w:hint="default" w:ascii="Times New Roman" w:hAnsi="Times New Roman" w:eastAsia="方正仿宋_GBK" w:cs="Times New Roman"/>
          <w:kern w:val="0"/>
          <w:sz w:val="32"/>
          <w:szCs w:val="32"/>
          <w:shd w:val="clear" w:fill="FFFFFF"/>
          <w:lang w:eastAsia="zh-CN"/>
        </w:rPr>
        <w:t>一般公共预算减少</w:t>
      </w:r>
      <w:r>
        <w:rPr>
          <w:rFonts w:hint="default" w:ascii="Times New Roman" w:hAnsi="Times New Roman" w:eastAsia="方正仿宋_GBK" w:cs="Times New Roman"/>
          <w:kern w:val="0"/>
          <w:sz w:val="32"/>
          <w:szCs w:val="32"/>
          <w:shd w:val="clear" w:fill="FFFFFF"/>
          <w:lang w:val="en-US" w:eastAsia="zh-CN"/>
        </w:rPr>
        <w:t>214.02</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政府性基金预算减少</w:t>
      </w:r>
      <w:r>
        <w:rPr>
          <w:rFonts w:hint="default" w:ascii="Times New Roman" w:hAnsi="Times New Roman" w:eastAsia="方正仿宋_GBK" w:cs="Times New Roman"/>
          <w:kern w:val="0"/>
          <w:sz w:val="32"/>
          <w:szCs w:val="32"/>
          <w:shd w:val="clear" w:fill="FFFFFF"/>
          <w:lang w:val="en-US" w:eastAsia="zh-CN"/>
        </w:rPr>
        <w:t>90.57万元，</w:t>
      </w:r>
      <w:r>
        <w:rPr>
          <w:rFonts w:hint="default" w:ascii="Times New Roman" w:hAnsi="Times New Roman" w:eastAsia="方正仿宋_GBK" w:cs="Times New Roman"/>
          <w:kern w:val="0"/>
          <w:sz w:val="32"/>
          <w:szCs w:val="32"/>
          <w:shd w:val="clear" w:fill="FFFFFF"/>
        </w:rPr>
        <w:t>年</w:t>
      </w:r>
      <w:r>
        <w:rPr>
          <w:rFonts w:hint="default" w:ascii="Times New Roman" w:hAnsi="Times New Roman" w:eastAsia="方正仿宋_GBK" w:cs="Times New Roman"/>
          <w:kern w:val="0"/>
          <w:sz w:val="32"/>
          <w:szCs w:val="32"/>
          <w:shd w:val="clear" w:fill="FFFFFF"/>
          <w:lang w:eastAsia="zh-CN"/>
        </w:rPr>
        <w:t>初</w:t>
      </w:r>
      <w:r>
        <w:rPr>
          <w:rFonts w:hint="default" w:ascii="Times New Roman" w:hAnsi="Times New Roman" w:eastAsia="方正仿宋_GBK" w:cs="Times New Roman"/>
          <w:kern w:val="0"/>
          <w:sz w:val="32"/>
          <w:szCs w:val="32"/>
          <w:shd w:val="clear" w:fill="FFFFFF"/>
        </w:rPr>
        <w:t>结转和结余</w:t>
      </w:r>
      <w:r>
        <w:rPr>
          <w:rFonts w:hint="default" w:ascii="Times New Roman" w:hAnsi="Times New Roman" w:eastAsia="方正仿宋_GBK" w:cs="Times New Roman"/>
          <w:kern w:val="0"/>
          <w:sz w:val="32"/>
          <w:szCs w:val="32"/>
          <w:shd w:val="clear" w:fill="FFFFFF"/>
          <w:lang w:eastAsia="zh-CN"/>
        </w:rPr>
        <w:t>减少</w:t>
      </w:r>
      <w:r>
        <w:rPr>
          <w:rFonts w:hint="default" w:ascii="Times New Roman" w:hAnsi="Times New Roman" w:eastAsia="方正仿宋_GBK" w:cs="Times New Roman"/>
          <w:kern w:val="0"/>
          <w:sz w:val="32"/>
          <w:szCs w:val="32"/>
          <w:shd w:val="clear" w:fill="FFFFFF"/>
          <w:lang w:val="en-US" w:eastAsia="zh-CN"/>
        </w:rPr>
        <w:t>424.34</w:t>
      </w:r>
      <w:r>
        <w:rPr>
          <w:rFonts w:hint="default" w:ascii="Times New Roman" w:hAnsi="Times New Roman" w:eastAsia="方正仿宋_GBK" w:cs="Times New Roman"/>
          <w:kern w:val="0"/>
          <w:sz w:val="32"/>
          <w:szCs w:val="32"/>
          <w:shd w:val="clear" w:fill="FFFFFF"/>
        </w:rPr>
        <w:t>万元。</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FFFFFF"/>
        </w:rPr>
        <w:t>1.收入情况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2024年度一般公共预算财政拨款收入4824.01万元，与2023年度相比，减少214.02万元，下降4.3%。主要原因是</w:t>
      </w:r>
      <w:r>
        <w:rPr>
          <w:rFonts w:hint="default" w:ascii="Times New Roman" w:hAnsi="Times New Roman" w:eastAsia="方正仿宋_GBK" w:cs="Times New Roman"/>
          <w:sz w:val="32"/>
          <w:szCs w:val="32"/>
          <w:shd w:val="clear" w:color="auto" w:fill="FFFFFF"/>
          <w:lang w:eastAsia="zh-CN"/>
        </w:rPr>
        <w:t>社会保障和就业支出增加</w:t>
      </w:r>
      <w:r>
        <w:rPr>
          <w:rFonts w:hint="default" w:ascii="Times New Roman" w:hAnsi="Times New Roman" w:eastAsia="方正仿宋_GBK" w:cs="Times New Roman"/>
          <w:sz w:val="32"/>
          <w:szCs w:val="32"/>
          <w:shd w:val="clear" w:color="auto" w:fill="FFFFFF"/>
          <w:lang w:val="en-US" w:eastAsia="zh-CN"/>
        </w:rPr>
        <w:t>143.44万元，卫生健康支出增加20.73万元，交通运输支出减少365.89万元，住房保障支出减少12.31万元。</w:t>
      </w:r>
      <w:r>
        <w:rPr>
          <w:rFonts w:hint="default" w:ascii="Times New Roman" w:hAnsi="Times New Roman" w:eastAsia="方正仿宋_GBK" w:cs="Times New Roman"/>
          <w:sz w:val="32"/>
          <w:szCs w:val="32"/>
          <w:shd w:val="clear" w:color="auto" w:fill="FFFFFF"/>
        </w:rPr>
        <w:t>较年初预算数减少308.13万元，下降6.0%。主要原因是</w:t>
      </w:r>
      <w:r>
        <w:rPr>
          <w:rFonts w:hint="default" w:ascii="Times New Roman" w:hAnsi="Times New Roman" w:eastAsia="方正仿宋_GBK" w:cs="Times New Roman"/>
          <w:kern w:val="0"/>
          <w:sz w:val="32"/>
          <w:szCs w:val="32"/>
          <w:shd w:val="clear" w:fill="FFFFFF"/>
        </w:rPr>
        <w:t>交通运输支出中公路养护项目资金</w:t>
      </w:r>
      <w:r>
        <w:rPr>
          <w:rFonts w:hint="default" w:ascii="Times New Roman" w:hAnsi="Times New Roman" w:eastAsia="方正仿宋_GBK" w:cs="Times New Roman"/>
          <w:kern w:val="0"/>
          <w:sz w:val="32"/>
          <w:szCs w:val="32"/>
          <w:shd w:val="clear" w:fill="FFFFFF"/>
          <w:lang w:eastAsia="zh-CN"/>
        </w:rPr>
        <w:t>减少</w:t>
      </w:r>
      <w:r>
        <w:rPr>
          <w:rFonts w:hint="eastAsia" w:ascii="Times New Roman" w:hAnsi="Times New Roman" w:eastAsia="方正仿宋_GBK" w:cs="Times New Roman"/>
          <w:kern w:val="0"/>
          <w:sz w:val="32"/>
          <w:szCs w:val="32"/>
          <w:shd w:val="clear" w:fill="FFFFFF"/>
          <w:lang w:val="en-US" w:eastAsia="zh-CN"/>
        </w:rPr>
        <w:t>,养老保险和职业年金基数调增</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此外，年初财政拨款结转和结余24.51万元。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2.支出情况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2024年度一般公共预算财政拨款支出4848.52万元，与2023年度相比，减少638.36万元，下降11.6%。主要原因是</w:t>
      </w:r>
      <w:r>
        <w:rPr>
          <w:rFonts w:hint="default" w:ascii="Times New Roman" w:hAnsi="Times New Roman" w:eastAsia="方正仿宋_GBK" w:cs="Times New Roman"/>
          <w:sz w:val="32"/>
          <w:szCs w:val="32"/>
          <w:shd w:val="clear" w:color="auto" w:fill="FFFFFF"/>
          <w:lang w:eastAsia="zh-CN"/>
        </w:rPr>
        <w:t>社会保障和就业支出增加</w:t>
      </w:r>
      <w:r>
        <w:rPr>
          <w:rFonts w:hint="default" w:ascii="Times New Roman" w:hAnsi="Times New Roman" w:eastAsia="方正仿宋_GBK" w:cs="Times New Roman"/>
          <w:sz w:val="32"/>
          <w:szCs w:val="32"/>
          <w:shd w:val="clear" w:color="auto" w:fill="FFFFFF"/>
          <w:lang w:val="en-US" w:eastAsia="zh-CN"/>
        </w:rPr>
        <w:t>143.44万元，卫生健康支出增加20.73万元，交通运输支出减少790.23万元，住房保障支出减少12.31万元</w:t>
      </w:r>
      <w:r>
        <w:rPr>
          <w:rFonts w:hint="default" w:ascii="Times New Roman" w:hAnsi="Times New Roman" w:eastAsia="方正仿宋_GBK" w:cs="Times New Roman"/>
          <w:sz w:val="32"/>
          <w:szCs w:val="32"/>
          <w:shd w:val="clear" w:color="auto" w:fill="FFFFFF"/>
        </w:rPr>
        <w:t>。较年初预算数减少283.62万元，下降5.5%。主要原因是</w:t>
      </w:r>
      <w:r>
        <w:rPr>
          <w:rFonts w:hint="default" w:ascii="Times New Roman" w:hAnsi="Times New Roman" w:eastAsia="方正仿宋_GBK" w:cs="Times New Roman"/>
          <w:sz w:val="32"/>
          <w:szCs w:val="32"/>
          <w:shd w:val="clear" w:color="auto" w:fill="FFFFFF"/>
          <w:lang w:eastAsia="zh-CN"/>
        </w:rPr>
        <w:t>部分项目由于未结算审计未支付</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kern w:val="0"/>
          <w:sz w:val="32"/>
          <w:szCs w:val="32"/>
          <w:shd w:val="clear" w:fill="FFFFFF"/>
          <w:lang w:val="en-US" w:eastAsia="zh-CN"/>
        </w:rPr>
        <w:t>养老保险和职业年金缴费基数调增</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就业支出822.73万元，占17.0%，较年初预算数增加130.36万元，增长18.8%，主要原因是</w:t>
      </w:r>
      <w:r>
        <w:rPr>
          <w:rFonts w:hint="default" w:ascii="Times New Roman" w:hAnsi="Times New Roman" w:eastAsia="方正仿宋_GBK" w:cs="Times New Roman"/>
          <w:sz w:val="32"/>
          <w:szCs w:val="32"/>
          <w:shd w:val="clear" w:color="auto" w:fill="FFFFFF"/>
          <w:lang w:eastAsia="zh-CN"/>
        </w:rPr>
        <w:t>调增养老保险及职业年金</w:t>
      </w:r>
      <w:r>
        <w:rPr>
          <w:rFonts w:hint="eastAsia" w:ascii="Times New Roman" w:hAnsi="Times New Roman" w:eastAsia="方正仿宋_GBK" w:cs="Times New Roman"/>
          <w:sz w:val="32"/>
          <w:szCs w:val="32"/>
          <w:shd w:val="clear" w:color="auto" w:fill="FFFFFF"/>
          <w:lang w:eastAsia="zh-CN"/>
        </w:rPr>
        <w:t>缴费</w:t>
      </w:r>
      <w:r>
        <w:rPr>
          <w:rFonts w:hint="default" w:ascii="Times New Roman" w:hAnsi="Times New Roman" w:eastAsia="方正仿宋_GBK" w:cs="Times New Roman"/>
          <w:sz w:val="32"/>
          <w:szCs w:val="32"/>
          <w:shd w:val="clear" w:color="auto" w:fill="FFFFFF"/>
          <w:lang w:eastAsia="zh-CN"/>
        </w:rPr>
        <w:t>基数。</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）卫生健康支出159.92万元，占3.3%，较年初预算数减少4.15万元，下降2.5%，主要原因是</w:t>
      </w:r>
      <w:r>
        <w:rPr>
          <w:rFonts w:hint="default" w:ascii="Times New Roman" w:hAnsi="Times New Roman" w:eastAsia="方正仿宋_GBK" w:cs="Times New Roman"/>
          <w:sz w:val="32"/>
          <w:szCs w:val="32"/>
          <w:shd w:val="clear" w:color="auto" w:fill="FFFFFF"/>
          <w:lang w:val="en-US" w:eastAsia="zh-CN"/>
        </w:rPr>
        <w:t>2024年退休10人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（3）交通运输支出3716.68万元，占76.7%，较年初预算数减少405.02万元，下降9.8%，主要原因是</w:t>
      </w:r>
      <w:r>
        <w:rPr>
          <w:rFonts w:hint="default" w:ascii="Times New Roman" w:hAnsi="Times New Roman" w:eastAsia="方正仿宋_GBK" w:cs="Times New Roman"/>
          <w:sz w:val="32"/>
          <w:szCs w:val="32"/>
          <w:shd w:val="clear" w:color="auto" w:fill="FFFFFF"/>
          <w:lang w:eastAsia="zh-CN"/>
        </w:rPr>
        <w:t>部分项目由于未结算审计未支付。</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149.19万元，占3.1%，较年初预算数减少4.81万元，下降3.1%，主要原因是</w:t>
      </w:r>
      <w:r>
        <w:rPr>
          <w:rFonts w:hint="default" w:ascii="Times New Roman" w:hAnsi="Times New Roman" w:eastAsia="方正仿宋_GBK" w:cs="Times New Roman"/>
          <w:sz w:val="32"/>
          <w:szCs w:val="32"/>
          <w:shd w:val="clear" w:color="auto" w:fill="FFFFFF"/>
          <w:lang w:val="en-US" w:eastAsia="zh-CN"/>
        </w:rPr>
        <w:t>2024年退休10人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3.结转结余情况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w:t>
      </w:r>
      <w:r>
        <w:rPr>
          <w:rFonts w:hint="default" w:ascii="Times New Roman" w:hAnsi="Times New Roman" w:eastAsia="方正仿宋_GBK" w:cs="Times New Roman"/>
          <w:sz w:val="32"/>
          <w:szCs w:val="32"/>
          <w:shd w:val="clear" w:color="auto" w:fill="FFFFFF"/>
          <w:lang w:eastAsia="zh-CN"/>
        </w:rPr>
        <w:t>年末无结转和结余。</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2024年度一般公共财政拨款基本支出3475.99万元。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人员经费3390.11万元，与2023年度相比，减少441.52万元，下降11.5%，主要原因是</w:t>
      </w:r>
      <w:r>
        <w:rPr>
          <w:rFonts w:hint="default" w:ascii="Times New Roman" w:hAnsi="Times New Roman" w:eastAsia="方正仿宋_GBK" w:cs="Times New Roman"/>
          <w:sz w:val="32"/>
          <w:szCs w:val="32"/>
          <w:shd w:val="clear" w:color="auto" w:fill="FFFFFF"/>
          <w:lang w:eastAsia="zh-CN"/>
        </w:rPr>
        <w:t>工资福利减少</w:t>
      </w:r>
      <w:r>
        <w:rPr>
          <w:rFonts w:hint="default" w:ascii="Times New Roman" w:hAnsi="Times New Roman" w:eastAsia="方正仿宋_GBK" w:cs="Times New Roman"/>
          <w:sz w:val="32"/>
          <w:szCs w:val="32"/>
          <w:shd w:val="clear" w:color="auto" w:fill="FFFFFF"/>
          <w:lang w:val="en-US" w:eastAsia="zh-CN"/>
        </w:rPr>
        <w:t>419.35万元，对个人和家庭的补助增减少21.92万元。</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基本工资、津贴补贴、绩效工资、机关事业单位基本养老保险、职业年金缴费、职工基本医疗保险缴费、其他社会保障缴费、住房公积金、医疗费、其他工资福利支出、抚恤金、生活补助、医疗费补助。</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公用经费85.89万元，与2023年度相比，减少14.70万元，下降14.6%，主要原因是</w:t>
      </w:r>
      <w:r>
        <w:rPr>
          <w:rFonts w:hint="default" w:ascii="Times New Roman" w:hAnsi="Times New Roman" w:eastAsia="方正仿宋_GBK" w:cs="Times New Roman"/>
          <w:sz w:val="32"/>
          <w:szCs w:val="32"/>
          <w:shd w:val="clear" w:color="auto" w:fill="FFFFFF"/>
          <w:lang w:eastAsia="zh-CN"/>
        </w:rPr>
        <w:t>严格按照过</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紧日子</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要求，压缩办公费用。</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办公费、水费、电费、邮电费、差旅费、维修（护）费、培训费、工会经费、福利费。</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2024年度政府性基金预算财政拨款年初结转结余0.00万元，年末结转结余0.00万元。本年收入45.72万元，与2023年度相比，减少90.57万元，下降66.5%，主要原因是</w:t>
      </w:r>
      <w:r>
        <w:rPr>
          <w:rFonts w:hint="default" w:ascii="Times New Roman" w:hAnsi="Times New Roman" w:eastAsia="方正仿宋_GBK" w:cs="Times New Roman"/>
          <w:sz w:val="32"/>
          <w:szCs w:val="32"/>
          <w:shd w:val="clear" w:color="auto" w:fill="FFFFFF"/>
          <w:lang w:eastAsia="zh-CN"/>
        </w:rPr>
        <w:t>公路养护项目未结算审核未</w:t>
      </w:r>
      <w:r>
        <w:rPr>
          <w:rFonts w:hint="default" w:ascii="Times New Roman" w:hAnsi="Times New Roman" w:eastAsia="方正仿宋_GBK" w:cs="Times New Roman"/>
          <w:sz w:val="32"/>
          <w:szCs w:val="32"/>
          <w:shd w:val="clear" w:color="auto" w:fill="FFFFFF"/>
          <w:lang w:val="en-US" w:eastAsia="zh-CN"/>
        </w:rPr>
        <w:t>支付。</w:t>
      </w:r>
      <w:r>
        <w:rPr>
          <w:rFonts w:hint="default" w:ascii="Times New Roman" w:hAnsi="Times New Roman" w:eastAsia="方正仿宋_GBK" w:cs="Times New Roman"/>
          <w:sz w:val="32"/>
          <w:szCs w:val="32"/>
          <w:shd w:val="clear" w:color="auto" w:fill="FFFFFF"/>
        </w:rPr>
        <w:t>本年支出45.72万元，与2023年度相比，减少90.57万元，下降66.5%，主要原因是</w:t>
      </w:r>
      <w:r>
        <w:rPr>
          <w:rFonts w:hint="default" w:ascii="Times New Roman" w:hAnsi="Times New Roman" w:eastAsia="方正仿宋_GBK" w:cs="Times New Roman"/>
          <w:sz w:val="32"/>
          <w:szCs w:val="32"/>
          <w:shd w:val="clear" w:color="auto" w:fill="FFFFFF"/>
          <w:lang w:eastAsia="zh-CN"/>
        </w:rPr>
        <w:t>公路养护</w:t>
      </w:r>
      <w:r>
        <w:rPr>
          <w:rFonts w:hint="eastAsia" w:ascii="Times New Roman" w:hAnsi="Times New Roman" w:eastAsia="方正仿宋_GBK" w:cs="Times New Roman"/>
          <w:sz w:val="32"/>
          <w:szCs w:val="32"/>
          <w:shd w:val="clear" w:color="auto" w:fill="FFFFFF"/>
          <w:lang w:eastAsia="zh-CN"/>
        </w:rPr>
        <w:t>部分</w:t>
      </w:r>
      <w:r>
        <w:rPr>
          <w:rFonts w:hint="default" w:ascii="Times New Roman" w:hAnsi="Times New Roman" w:eastAsia="方正仿宋_GBK" w:cs="Times New Roman"/>
          <w:sz w:val="32"/>
          <w:szCs w:val="32"/>
          <w:shd w:val="clear" w:color="auto" w:fill="FFFFFF"/>
          <w:lang w:eastAsia="zh-CN"/>
        </w:rPr>
        <w:t>项目未结算审核未支付</w:t>
      </w:r>
      <w:r>
        <w:rPr>
          <w:rFonts w:hint="default" w:ascii="Times New Roman" w:hAnsi="Times New Roman" w:eastAsia="方正仿宋_GBK" w:cs="Times New Roman"/>
          <w:sz w:val="32"/>
          <w:szCs w:val="32"/>
          <w:shd w:val="clear" w:color="auto" w:fill="FFFFFF"/>
          <w:lang w:val="en-US" w:eastAsia="zh-CN"/>
        </w:rPr>
        <w:t>。</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w:t>
      </w:r>
      <w:r>
        <w:rPr>
          <w:rStyle w:val="8"/>
          <w:rFonts w:hint="eastAsia" w:ascii="方正楷体_GBK" w:hAnsi="方正楷体_GBK" w:eastAsia="方正楷体_GBK" w:cs="方正楷体_GBK"/>
          <w:b w:val="0"/>
          <w:bCs/>
          <w:sz w:val="32"/>
          <w:szCs w:val="32"/>
          <w:shd w:val="clear" w:color="auto" w:fill="FFFFFF"/>
        </w:rPr>
        <w:t>“三公”</w:t>
      </w:r>
      <w:r>
        <w:rPr>
          <w:rFonts w:hint="default" w:ascii="Times New Roman" w:hAnsi="Times New Roman" w:eastAsia="方正楷体_GBK" w:cs="Times New Roman"/>
          <w:b w:val="0"/>
          <w:bCs w:val="0"/>
          <w:sz w:val="32"/>
          <w:szCs w:val="32"/>
          <w:shd w:val="clear" w:color="auto" w:fill="FFFFFF"/>
        </w:rPr>
        <w:t>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Style w:val="8"/>
          <w:rFonts w:hint="eastAsia" w:ascii="方正楷体_GBK" w:hAnsi="方正楷体_GBK" w:eastAsia="方正楷体_GBK" w:cs="方正楷体_GBK"/>
          <w:b w:val="0"/>
          <w:bCs/>
          <w:sz w:val="32"/>
          <w:szCs w:val="32"/>
          <w:shd w:val="clear" w:color="auto" w:fill="FFFFFF"/>
        </w:rPr>
        <w:t>“三公”</w:t>
      </w:r>
      <w:r>
        <w:rPr>
          <w:rFonts w:hint="default" w:ascii="Times New Roman" w:hAnsi="Times New Roman" w:eastAsia="方正仿宋_GBK" w:cs="Times New Roman"/>
          <w:sz w:val="32"/>
          <w:szCs w:val="32"/>
          <w:shd w:val="clear" w:color="auto" w:fill="FFFFFF"/>
        </w:rPr>
        <w:t>经费支出共计19.82万元，较年初预算数增加18.82万元，增长1882.0%，主要原因是</w:t>
      </w:r>
      <w:r>
        <w:rPr>
          <w:rFonts w:hint="default" w:ascii="Times New Roman" w:hAnsi="Times New Roman" w:eastAsia="方正仿宋_GBK" w:cs="Times New Roman"/>
          <w:sz w:val="32"/>
          <w:szCs w:val="32"/>
          <w:lang w:eastAsia="zh-CN"/>
        </w:rPr>
        <w:t>事业单位车改，</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eastAsia="zh-CN"/>
        </w:rPr>
        <w:t>公务车运行维护费无预算安排</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较上年支出数增加0.03万元，增长0.2%，主要原因是</w:t>
      </w:r>
      <w:r>
        <w:rPr>
          <w:rFonts w:hint="default" w:ascii="Times New Roman" w:hAnsi="Times New Roman" w:eastAsia="方正仿宋_GBK" w:cs="Times New Roman"/>
          <w:kern w:val="0"/>
          <w:sz w:val="32"/>
          <w:szCs w:val="32"/>
          <w:shd w:val="clear" w:fill="FFFFFF"/>
        </w:rPr>
        <w:t>单位精心组织，加强管理，厉行节约，减少不必要支出。</w:t>
      </w:r>
      <w:r>
        <w:rPr>
          <w:rFonts w:hint="default" w:ascii="Times New Roman" w:hAnsi="Times New Roman" w:eastAsia="方正仿宋_GBK" w:cs="Times New Roman"/>
          <w:kern w:val="0"/>
          <w:sz w:val="32"/>
          <w:szCs w:val="32"/>
          <w:shd w:val="clear" w:fill="FFFFFF"/>
          <w:lang w:val="en-US" w:eastAsia="zh-CN"/>
        </w:rPr>
        <w:t>2024年度</w:t>
      </w:r>
      <w:r>
        <w:rPr>
          <w:rFonts w:hint="default" w:ascii="Times New Roman" w:hAnsi="Times New Roman" w:eastAsia="方正仿宋_GBK" w:cs="Times New Roman"/>
          <w:sz w:val="32"/>
          <w:szCs w:val="32"/>
        </w:rPr>
        <w:t>因工作需要发生1起公务接待，7人费用为</w:t>
      </w:r>
      <w:r>
        <w:rPr>
          <w:rFonts w:hint="default" w:ascii="Times New Roman" w:hAnsi="Times New Roman" w:eastAsia="方正仿宋_GBK" w:cs="Times New Roman"/>
          <w:sz w:val="32"/>
          <w:szCs w:val="32"/>
          <w:lang w:val="en-US" w:eastAsia="zh-CN"/>
        </w:rPr>
        <w:t>0.07万</w:t>
      </w:r>
      <w:r>
        <w:rPr>
          <w:rFonts w:hint="default" w:ascii="Times New Roman" w:hAnsi="Times New Roman" w:eastAsia="方正仿宋_GBK" w:cs="Times New Roman"/>
          <w:sz w:val="32"/>
          <w:szCs w:val="32"/>
        </w:rPr>
        <w:t>元。</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w:t>
      </w:r>
      <w:r>
        <w:rPr>
          <w:rStyle w:val="8"/>
          <w:rFonts w:hint="eastAsia" w:ascii="方正楷体_GBK" w:hAnsi="方正楷体_GBK" w:eastAsia="方正楷体_GBK" w:cs="方正楷体_GBK"/>
          <w:b w:val="0"/>
          <w:bCs/>
          <w:sz w:val="32"/>
          <w:szCs w:val="32"/>
          <w:shd w:val="clear" w:color="auto" w:fill="FFFFFF"/>
        </w:rPr>
        <w:t>“三公”</w:t>
      </w:r>
      <w:r>
        <w:rPr>
          <w:rFonts w:hint="default" w:ascii="Times New Roman" w:hAnsi="Times New Roman" w:eastAsia="方正楷体_GBK" w:cs="Times New Roman"/>
          <w:b w:val="0"/>
          <w:bCs w:val="0"/>
          <w:sz w:val="32"/>
          <w:szCs w:val="32"/>
          <w:shd w:val="clear" w:color="auto" w:fill="FFFFFF"/>
        </w:rPr>
        <w:t>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eastAsia="zh-CN"/>
        </w:rPr>
        <w:t>未发生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费用支出较年初预算数无增减，较上年支出数无增减，主要原因是202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eastAsia="zh-CN"/>
        </w:rPr>
        <w:t>未发生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w:t>
      </w:r>
      <w:r>
        <w:rPr>
          <w:rFonts w:hint="default" w:ascii="Times New Roman" w:hAnsi="Times New Roman" w:eastAsia="方正仿宋_GBK" w:cs="Times New Roman"/>
          <w:sz w:val="32"/>
          <w:szCs w:val="32"/>
          <w:shd w:val="clear" w:color="auto" w:fill="FFFFFF"/>
          <w:lang w:val="en-US" w:eastAsia="zh-CN"/>
        </w:rPr>
        <w:t>2024年度本单位未发生公务车购置费。</w:t>
      </w:r>
      <w:r>
        <w:rPr>
          <w:rFonts w:hint="default" w:ascii="Times New Roman" w:hAnsi="Times New Roman" w:eastAsia="方正仿宋_GBK" w:cs="Times New Roman"/>
          <w:sz w:val="32"/>
          <w:szCs w:val="32"/>
          <w:shd w:val="clear" w:color="auto" w:fill="FFFFFF"/>
        </w:rPr>
        <w:t>费用支出较年初预算数无增减，较上年支出数无增减，主要原因是</w:t>
      </w:r>
      <w:r>
        <w:rPr>
          <w:rFonts w:hint="default" w:ascii="Times New Roman" w:hAnsi="Times New Roman" w:eastAsia="方正仿宋_GBK" w:cs="Times New Roman"/>
          <w:sz w:val="32"/>
          <w:szCs w:val="32"/>
          <w:shd w:val="clear" w:color="auto" w:fill="FFFFFF"/>
          <w:lang w:val="en-US" w:eastAsia="zh-CN"/>
        </w:rPr>
        <w:t>2024年度本单位未发生公务车购置费。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车运行维护费19.75万元，主要用于</w:t>
      </w:r>
      <w:r>
        <w:rPr>
          <w:rFonts w:hint="default" w:ascii="Times New Roman" w:hAnsi="Times New Roman" w:eastAsia="方正仿宋_GBK" w:cs="Times New Roman"/>
          <w:kern w:val="0"/>
          <w:sz w:val="32"/>
          <w:szCs w:val="32"/>
          <w:shd w:val="clear" w:fill="FFFFFF"/>
        </w:rPr>
        <w:t>应急保障用车和特种专业技术用车的运行和维护，保障公路安全、畅通。</w:t>
      </w:r>
      <w:r>
        <w:rPr>
          <w:rFonts w:hint="default" w:ascii="Times New Roman" w:hAnsi="Times New Roman" w:eastAsia="方正仿宋_GBK" w:cs="Times New Roman"/>
          <w:sz w:val="32"/>
          <w:szCs w:val="32"/>
          <w:shd w:val="clear" w:color="auto" w:fill="FFFFFF"/>
        </w:rPr>
        <w:t>费用支出较年初预算数增加19.75万元，增长100.0%，主要原因是</w:t>
      </w:r>
      <w:r>
        <w:rPr>
          <w:rFonts w:hint="default" w:ascii="Times New Roman" w:hAnsi="Times New Roman" w:eastAsia="方正仿宋_GBK" w:cs="Times New Roman"/>
          <w:sz w:val="32"/>
          <w:szCs w:val="32"/>
          <w:lang w:eastAsia="zh-CN"/>
        </w:rPr>
        <w:t>事业单位车改，</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eastAsia="zh-CN"/>
        </w:rPr>
        <w:t>公务车运行维护费无预算安排</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sz w:val="32"/>
          <w:szCs w:val="32"/>
          <w:shd w:val="clear" w:color="auto" w:fill="FFFFFF"/>
        </w:rPr>
        <w:t>较上年支出数减少0.04万元，下降0.2%，主要原因是</w:t>
      </w:r>
      <w:r>
        <w:rPr>
          <w:rFonts w:hint="default" w:ascii="Times New Roman" w:hAnsi="Times New Roman" w:eastAsia="方正仿宋_GBK" w:cs="Times New Roman"/>
          <w:kern w:val="0"/>
          <w:sz w:val="32"/>
          <w:szCs w:val="32"/>
          <w:shd w:val="clear" w:fill="FFFFFF"/>
        </w:rPr>
        <w:t>对车辆精心管理，合理安排，加强维护保养，防止病车上路。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公务接待费0.07万元，主要用于接待</w:t>
      </w:r>
      <w:r>
        <w:rPr>
          <w:rFonts w:hint="default" w:ascii="Times New Roman" w:hAnsi="Times New Roman" w:eastAsia="方正仿宋_GBK" w:cs="Times New Roman"/>
          <w:sz w:val="32"/>
          <w:szCs w:val="32"/>
          <w:shd w:val="clear" w:color="auto" w:fill="FFFFFF"/>
          <w:lang w:val="en-US" w:eastAsia="zh-CN"/>
        </w:rPr>
        <w:t>2024年普通国省道公路养护质量检查。</w:t>
      </w:r>
      <w:r>
        <w:rPr>
          <w:rFonts w:hint="default" w:ascii="Times New Roman" w:hAnsi="Times New Roman" w:eastAsia="方正仿宋_GBK" w:cs="Times New Roman"/>
          <w:sz w:val="32"/>
          <w:szCs w:val="32"/>
          <w:shd w:val="clear" w:color="auto" w:fill="FFFFFF"/>
        </w:rPr>
        <w:t>费用支出较年初预算数减少0.93万元，下降93.0%，主要原因是</w:t>
      </w:r>
      <w:r>
        <w:rPr>
          <w:rFonts w:hint="default" w:ascii="Times New Roman" w:hAnsi="Times New Roman" w:eastAsia="方正仿宋_GBK" w:cs="Times New Roman"/>
          <w:sz w:val="32"/>
          <w:szCs w:val="32"/>
          <w:shd w:val="clear" w:color="auto" w:fill="FFFFFF"/>
          <w:lang w:eastAsia="zh-CN"/>
        </w:rPr>
        <w:t>本单位厉行节约，压缩非必要支出。</w:t>
      </w:r>
      <w:r>
        <w:rPr>
          <w:rFonts w:hint="default" w:ascii="Times New Roman" w:hAnsi="Times New Roman" w:eastAsia="方正仿宋_GBK" w:cs="Times New Roman"/>
          <w:sz w:val="32"/>
          <w:szCs w:val="32"/>
          <w:shd w:val="clear" w:color="auto" w:fill="FFFFFF"/>
        </w:rPr>
        <w:t>较上年支出数增加0.07万元，增长100.0%，主要原因是</w:t>
      </w:r>
      <w:r>
        <w:rPr>
          <w:rFonts w:hint="default" w:ascii="Times New Roman" w:hAnsi="Times New Roman" w:eastAsia="方正仿宋_GBK" w:cs="Times New Roman"/>
          <w:sz w:val="32"/>
          <w:szCs w:val="32"/>
        </w:rPr>
        <w:t>2024年因工作需要发生1起公务接待，7人费用为</w:t>
      </w:r>
      <w:r>
        <w:rPr>
          <w:rFonts w:hint="default" w:ascii="Times New Roman" w:hAnsi="Times New Roman" w:eastAsia="方正仿宋_GBK" w:cs="Times New Roman"/>
          <w:sz w:val="32"/>
          <w:szCs w:val="32"/>
          <w:lang w:val="en-US" w:eastAsia="zh-CN"/>
        </w:rPr>
        <w:t>0.07万</w:t>
      </w:r>
      <w:r>
        <w:rPr>
          <w:rFonts w:hint="default" w:ascii="Times New Roman" w:hAnsi="Times New Roman" w:eastAsia="方正仿宋_GBK" w:cs="Times New Roman"/>
          <w:sz w:val="32"/>
          <w:szCs w:val="32"/>
        </w:rPr>
        <w:t>元。</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w:t>
      </w:r>
      <w:r>
        <w:rPr>
          <w:rStyle w:val="8"/>
          <w:rFonts w:hint="eastAsia" w:ascii="方正楷体_GBK" w:hAnsi="方正楷体_GBK" w:eastAsia="方正楷体_GBK" w:cs="方正楷体_GBK"/>
          <w:b w:val="0"/>
          <w:bCs/>
          <w:sz w:val="32"/>
          <w:szCs w:val="32"/>
          <w:shd w:val="clear" w:color="auto" w:fill="FFFFFF"/>
        </w:rPr>
        <w:t>“三公”</w:t>
      </w:r>
      <w:r>
        <w:rPr>
          <w:rFonts w:hint="default" w:ascii="Times New Roman" w:hAnsi="Times New Roman" w:eastAsia="方正楷体_GBK" w:cs="Times New Roman"/>
          <w:b w:val="0"/>
          <w:bCs w:val="0"/>
          <w:sz w:val="32"/>
          <w:szCs w:val="32"/>
          <w:shd w:val="clear" w:color="auto" w:fill="FFFFFF"/>
        </w:rPr>
        <w:t>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因公出国（境）共计0个团组，0人；公务用车购置0辆，公务车保有量为8辆；国内公务接待1批次7人，其中：国内外事接待0批次，0人；国（境）外公务接待0批次，0人。2024年本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w:t>
      </w:r>
      <w:r>
        <w:rPr>
          <w:rFonts w:hint="eastAsia" w:ascii="Times New Roman" w:hAnsi="Times New Roman" w:eastAsia="方正仿宋_GBK" w:cs="Times New Roman"/>
          <w:sz w:val="32"/>
          <w:szCs w:val="32"/>
          <w:shd w:val="clear" w:color="auto" w:fill="FFFFFF"/>
          <w:lang w:val="en-US" w:eastAsia="zh-CN"/>
        </w:rPr>
        <w:t>97.29</w:t>
      </w:r>
      <w:r>
        <w:rPr>
          <w:rFonts w:hint="default" w:ascii="Times New Roman" w:hAnsi="Times New Roman" w:eastAsia="方正仿宋_GBK" w:cs="Times New Roman"/>
          <w:sz w:val="32"/>
          <w:szCs w:val="32"/>
          <w:shd w:val="clear" w:color="auto" w:fill="FFFFFF"/>
        </w:rPr>
        <w:t>元，车均购置费0</w:t>
      </w:r>
      <w:r>
        <w:rPr>
          <w:rFonts w:hint="eastAsia" w:ascii="Times New Roman" w:hAnsi="Times New Roman" w:eastAsia="方正仿宋_GBK" w:cs="Times New Roman"/>
          <w:sz w:val="32"/>
          <w:szCs w:val="32"/>
          <w:shd w:val="clear" w:color="auto" w:fill="FFFFFF"/>
          <w:lang w:val="en-US" w:eastAsia="zh-CN"/>
        </w:rPr>
        <w:t>.00</w:t>
      </w:r>
      <w:r>
        <w:rPr>
          <w:rFonts w:hint="default" w:ascii="Times New Roman" w:hAnsi="Times New Roman" w:eastAsia="方正仿宋_GBK" w:cs="Times New Roman"/>
          <w:sz w:val="32"/>
          <w:szCs w:val="32"/>
          <w:shd w:val="clear" w:color="auto" w:fill="FFFFFF"/>
        </w:rPr>
        <w:t>万元，车均维护费2.47万元。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本年度会议费支出0.00万元，与2023年度相比，无增减，主要原因</w:t>
      </w:r>
      <w:r>
        <w:rPr>
          <w:rFonts w:hint="default" w:ascii="Times New Roman" w:hAnsi="Times New Roman" w:eastAsia="方正仿宋_GBK" w:cs="Times New Roman"/>
          <w:sz w:val="32"/>
          <w:szCs w:val="32"/>
          <w:shd w:val="clear" w:color="auto" w:fill="FFFFFF"/>
          <w:lang w:eastAsia="zh-CN"/>
        </w:rPr>
        <w:t>是本单位</w:t>
      </w:r>
      <w:r>
        <w:rPr>
          <w:rFonts w:hint="default" w:ascii="Times New Roman" w:hAnsi="Times New Roman" w:eastAsia="方正仿宋_GBK" w:cs="Times New Roman"/>
          <w:sz w:val="32"/>
          <w:szCs w:val="32"/>
          <w:shd w:val="clear" w:color="auto" w:fill="FFFFFF"/>
          <w:lang w:val="en-US" w:eastAsia="zh-CN"/>
        </w:rPr>
        <w:t>2024年度未发生会议费支出。</w:t>
      </w:r>
      <w:r>
        <w:rPr>
          <w:rFonts w:hint="default" w:ascii="Times New Roman" w:hAnsi="Times New Roman" w:eastAsia="方正仿宋_GBK" w:cs="Times New Roman"/>
          <w:sz w:val="32"/>
          <w:szCs w:val="32"/>
          <w:shd w:val="clear" w:color="auto" w:fill="FFFFFF"/>
        </w:rPr>
        <w:t>本年度培训费支出10.02万元，与2023年度相比，减少0.91万元，下降8.3%，主要原因是</w:t>
      </w:r>
      <w:r>
        <w:rPr>
          <w:rFonts w:hint="default" w:ascii="Times New Roman" w:hAnsi="Times New Roman" w:eastAsia="方正仿宋_GBK" w:cs="Times New Roman"/>
          <w:sz w:val="32"/>
          <w:szCs w:val="32"/>
          <w:shd w:val="clear" w:color="auto" w:fill="FFFFFF"/>
          <w:lang w:eastAsia="zh-CN"/>
        </w:rPr>
        <w:t>部分人员退休未发生继续教育支出</w:t>
      </w:r>
      <w:r>
        <w:rPr>
          <w:rFonts w:hint="default" w:ascii="Times New Roman" w:hAnsi="Times New Roman" w:eastAsia="方正仿宋_GBK" w:cs="Times New Roman"/>
          <w:sz w:val="32"/>
          <w:szCs w:val="32"/>
          <w:shd w:val="clear" w:color="auto" w:fill="FFFFFF"/>
        </w:rPr>
        <w:t>。本年度差旅费支出8.15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与2023年度相比，增加0.18万元，增长2.3%，主要原因是</w:t>
      </w:r>
      <w:r>
        <w:rPr>
          <w:rFonts w:hint="default" w:ascii="Times New Roman" w:hAnsi="Times New Roman" w:eastAsia="方正仿宋_GBK" w:cs="Times New Roman"/>
          <w:sz w:val="32"/>
          <w:szCs w:val="32"/>
          <w:shd w:val="clear" w:color="auto" w:fill="FFFFFF"/>
          <w:lang w:eastAsia="zh-CN"/>
        </w:rPr>
        <w:t>增加一次到福建差旅费。</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lang w:eastAsia="zh-CN"/>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共有车辆8辆，其中，副部（省）级及以上领导用车0辆、主要负责人用车0辆、机要通信用车0辆、应急保障用车4辆、执法执勤用车0辆，特种专业技术用车4辆，离退休干部用车0辆。单价</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万元（含）以上专用设备0台（套）。</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政府采购支出总额1.82万元，其中：政府采购货物支出1.82万元、政府采购工程支出0.00万元、政府采购服务支出0.00万元。授予中小企业合同金额1.82</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元，占政府采购支出总额的100.0%，其中：授予小微企业合同金额1.82万元，占政府采购支出总额的100.0 %。主要用于采购</w:t>
      </w:r>
      <w:r>
        <w:rPr>
          <w:rFonts w:hint="default" w:ascii="Times New Roman" w:hAnsi="Times New Roman" w:eastAsia="方正仿宋_GBK" w:cs="Times New Roman"/>
          <w:sz w:val="32"/>
          <w:szCs w:val="32"/>
          <w:shd w:val="clear" w:color="auto" w:fill="FFFFFF"/>
          <w:lang w:eastAsia="zh-CN"/>
        </w:rPr>
        <w:t>复印机一台、办公用电脑一</w:t>
      </w:r>
      <w:r>
        <w:rPr>
          <w:rFonts w:hint="eastAsia" w:ascii="Times New Roman" w:hAnsi="Times New Roman" w:eastAsia="方正仿宋_GBK" w:cs="Times New Roman"/>
          <w:sz w:val="32"/>
          <w:szCs w:val="32"/>
          <w:shd w:val="clear" w:color="auto" w:fill="FFFFFF"/>
          <w:lang w:eastAsia="zh-CN"/>
        </w:rPr>
        <w:t>台。</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黑体_GBK" w:hAnsi="方正黑体_GBK" w:eastAsia="方正黑体_GBK" w:cs="方正黑体_GBK"/>
          <w:b w:val="0"/>
          <w:bCs/>
          <w:sz w:val="32"/>
          <w:szCs w:val="32"/>
          <w:highlight w:val="yellow"/>
          <w:shd w:val="clear" w:color="auto" w:fill="FFFFFF"/>
          <w:lang w:bidi="ar"/>
        </w:rPr>
      </w:pP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kinsoku/>
        <w:wordWrap/>
        <w:overflowPunct/>
        <w:topLinePunct w:val="0"/>
        <w:autoSpaceDE w:val="0"/>
        <w:autoSpaceDN/>
        <w:bidi w:val="0"/>
        <w:adjustRightInd/>
        <w:spacing w:afterAutospacing="0" w:line="560" w:lineRule="exact"/>
        <w:ind w:firstLine="640"/>
        <w:textAlignment w:val="auto"/>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bidi="ar"/>
        </w:rPr>
        <w:t>（一）</w:t>
      </w:r>
      <w:r>
        <w:rPr>
          <w:rFonts w:hint="eastAsia" w:ascii="方正楷体_GBK" w:hAnsi="方正楷体_GBK" w:eastAsia="方正楷体_GBK" w:cs="方正楷体_GBK"/>
          <w:b w:val="0"/>
          <w:bCs w:val="0"/>
          <w:sz w:val="32"/>
          <w:szCs w:val="32"/>
          <w:shd w:val="clear" w:color="auto" w:fill="FFFFFF"/>
          <w:lang w:val="en-US" w:eastAsia="zh-CN" w:bidi="ar"/>
        </w:rPr>
        <w:t>单位</w:t>
      </w:r>
      <w:r>
        <w:rPr>
          <w:rFonts w:hint="eastAsia" w:ascii="方正楷体_GBK" w:hAnsi="方正楷体_GBK" w:eastAsia="方正楷体_GBK" w:cs="方正楷体_GBK"/>
          <w:b w:val="0"/>
          <w:bCs w:val="0"/>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textAlignment w:val="auto"/>
        <w:rPr>
          <w:rFonts w:hint="eastAsia" w:ascii="方正仿宋_GBK" w:hAnsi="方正仿宋_GBK" w:eastAsia="方正仿宋_GBK" w:cs="方正仿宋_GBK"/>
          <w:sz w:val="32"/>
          <w:szCs w:val="32"/>
          <w:highlight w:val="yellow"/>
          <w:shd w:val="clear" w:color="auto" w:fill="FFFFFF"/>
          <w:lang w:bidi="ar"/>
        </w:rPr>
      </w:pPr>
      <w:r>
        <w:rPr>
          <w:rFonts w:hint="default" w:ascii="Times New Roman" w:hAnsi="Times New Roman" w:eastAsia="方正仿宋_GBK" w:cs="Times New Roman"/>
          <w:sz w:val="32"/>
          <w:szCs w:val="32"/>
          <w:shd w:val="clear" w:color="auto" w:fill="FFFFFF"/>
        </w:rPr>
        <w:t>根据预算绩效管理要求，我单位</w:t>
      </w:r>
      <w:r>
        <w:rPr>
          <w:rFonts w:hint="eastAsia" w:ascii="Times New Roman" w:hAnsi="Times New Roman" w:eastAsia="方正仿宋_GBK" w:cs="Times New Roman"/>
          <w:sz w:val="32"/>
          <w:szCs w:val="32"/>
          <w:shd w:val="clear" w:color="auto" w:fill="FFFFFF"/>
          <w:lang w:val="en-US" w:eastAsia="zh-CN"/>
        </w:rPr>
        <w:t>24</w:t>
      </w:r>
      <w:r>
        <w:rPr>
          <w:rFonts w:hint="default" w:ascii="Times New Roman" w:hAnsi="Times New Roman" w:eastAsia="方正仿宋_GBK" w:cs="Times New Roman"/>
          <w:sz w:val="32"/>
          <w:szCs w:val="32"/>
          <w:shd w:val="clear" w:color="auto" w:fill="FFFFFF"/>
        </w:rPr>
        <w:t>个项目开展了绩效自评，涉及项目支出资金</w:t>
      </w:r>
      <w:r>
        <w:rPr>
          <w:rFonts w:hint="eastAsia" w:ascii="Times New Roman" w:hAnsi="Times New Roman" w:eastAsia="方正仿宋_GBK" w:cs="Times New Roman"/>
          <w:sz w:val="32"/>
          <w:szCs w:val="32"/>
          <w:shd w:val="clear" w:color="auto" w:fill="FFFFFF"/>
          <w:lang w:val="en-US" w:eastAsia="zh-CN"/>
        </w:rPr>
        <w:t>3690.25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fill="FFFFFF"/>
        </w:rPr>
        <w:t>202</w:t>
      </w:r>
      <w:r>
        <w:rPr>
          <w:rFonts w:hint="default"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年我单位全面实施绩效管理，完善预算绩效管理流程，扩大预算绩效管理范围，努力盘活存量、用好增量。随着预算</w:t>
      </w:r>
      <w:bookmarkStart w:id="0" w:name="_GoBack"/>
      <w:bookmarkEnd w:id="0"/>
      <w:r>
        <w:rPr>
          <w:rFonts w:hint="default" w:ascii="Times New Roman" w:hAnsi="Times New Roman" w:eastAsia="方正仿宋_GBK" w:cs="Times New Roman"/>
          <w:kern w:val="0"/>
          <w:sz w:val="32"/>
          <w:szCs w:val="32"/>
          <w:shd w:val="clear" w:fill="FFFFFF"/>
        </w:rPr>
        <w:t>绩效管理工作的开展，单位预算管理理念开始转变，明确了</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花钱必问效，无效必问责</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，强化单位的自我约束意识和责任意识。增强了决策的科学性，项目安排的合理性，提高了预算的规范性，减少了资金支出的随意性，促进了资源整合，资金使用效益得到提高。</w:t>
      </w:r>
    </w:p>
    <w:p>
      <w:pPr>
        <w:pStyle w:val="12"/>
        <w:keepNext w:val="0"/>
        <w:keepLines w:val="0"/>
        <w:pageBreakBefore w:val="0"/>
        <w:widowControl/>
        <w:kinsoku/>
        <w:wordWrap/>
        <w:overflowPunct/>
        <w:topLinePunct w:val="0"/>
        <w:autoSpaceDE/>
        <w:autoSpaceDN/>
        <w:bidi w:val="0"/>
        <w:adjustRightInd/>
        <w:snapToGrid/>
        <w:spacing w:before="0"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lang w:bidi="ar"/>
        </w:rPr>
        <w:t>项目支出绩效自评表</w:t>
      </w:r>
    </w:p>
    <w:tbl>
      <w:tblPr>
        <w:tblStyle w:val="9"/>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5"/>
        <w:gridCol w:w="645"/>
        <w:gridCol w:w="2310"/>
        <w:gridCol w:w="675"/>
        <w:gridCol w:w="585"/>
        <w:gridCol w:w="570"/>
        <w:gridCol w:w="585"/>
        <w:gridCol w:w="795"/>
        <w:gridCol w:w="555"/>
        <w:gridCol w:w="54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5" w:hRule="atLeast"/>
        </w:trPr>
        <w:tc>
          <w:tcPr>
            <w:tcW w:w="837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36"/>
                <w:szCs w:val="36"/>
                <w:u w:val="none"/>
              </w:rPr>
            </w:pPr>
            <w:r>
              <w:rPr>
                <w:rFonts w:hint="default" w:ascii="Times New Roman" w:hAnsi="Times New Roman" w:eastAsia="Tahoma" w:cs="Times New Roman"/>
                <w:i w:val="0"/>
                <w:color w:val="000000"/>
                <w:kern w:val="0"/>
                <w:sz w:val="36"/>
                <w:szCs w:val="36"/>
                <w:u w:val="none"/>
                <w:lang w:val="en-US" w:eastAsia="zh-CN" w:bidi="ar"/>
              </w:rPr>
              <w:t>2024</w:t>
            </w:r>
            <w:r>
              <w:rPr>
                <w:rFonts w:hint="eastAsia" w:ascii="方正小标宋_GBK" w:hAnsi="方正小标宋_GBK" w:eastAsia="方正小标宋_GBK" w:cs="方正小标宋_GBK"/>
                <w:i w:val="0"/>
                <w:color w:val="000000"/>
                <w:kern w:val="0"/>
                <w:sz w:val="36"/>
                <w:szCs w:val="36"/>
                <w:u w:val="none"/>
                <w:lang w:val="en-US" w:eastAsia="zh-CN" w:bidi="ar"/>
              </w:rPr>
              <w:t>年度项目支出绩效自评情况表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指标性质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计量单位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全年完成值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指标得分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说明</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公路养护维护费</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77.7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7.77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 xml:space="preserve">97.77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国省道养护里程</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350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350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40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县道及以下养护里程</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270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270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公路畅通率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公路良好率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使用者满意度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90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普通国省道养护补差</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养护里程</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9.4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9.4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40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验收合格率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好路率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75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78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使用者满意度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3</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溶溪至漆园公路养护</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Tahoma" w:cs="Times New Roman"/>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预防性养护里程</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缩短出行时间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分钟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社会公众满意度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80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Tahoma" w:cs="Times New Roman"/>
                <w:i w:val="0"/>
                <w:color w:val="000000"/>
                <w:sz w:val="22"/>
                <w:szCs w:val="22"/>
                <w:u w:val="none"/>
              </w:rPr>
            </w:pPr>
            <w:r>
              <w:rPr>
                <w:rFonts w:hint="default" w:ascii="Times New Roman" w:hAnsi="Times New Roman" w:eastAsia="Tahoma" w:cs="Times New Roman"/>
                <w:i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Tahoma" w:cs="Times New Roman"/>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Tahoma" w:cs="Times New Roman"/>
                <w:i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pacing w:afterAutospacing="0" w:line="560" w:lineRule="exact"/>
        <w:ind w:left="0" w:leftChars="0" w:firstLine="0" w:firstLineChars="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w:t>
      </w:r>
      <w:r>
        <w:rPr>
          <w:rFonts w:hint="eastAsia" w:ascii="方正楷体_GBK" w:hAnsi="方正楷体_GBK" w:eastAsia="方正楷体_GBK" w:cs="方正楷体_GBK"/>
          <w:b w:val="0"/>
          <w:bCs w:val="0"/>
          <w:sz w:val="32"/>
          <w:szCs w:val="32"/>
          <w:shd w:val="clear" w:color="auto" w:fill="FFFFFF"/>
          <w:lang w:val="en-US" w:eastAsia="zh-CN" w:bidi="ar"/>
        </w:rPr>
        <w:t>单位</w:t>
      </w:r>
      <w:r>
        <w:rPr>
          <w:rFonts w:hint="eastAsia" w:ascii="方正楷体_GBK" w:hAnsi="方正楷体_GBK" w:eastAsia="方正楷体_GBK" w:cs="方正楷体_GBK"/>
          <w:b w:val="0"/>
          <w:bCs w:val="0"/>
          <w:sz w:val="32"/>
          <w:szCs w:val="32"/>
          <w:shd w:val="clear" w:color="auto" w:fill="FFFFFF"/>
          <w:lang w:bidi="ar"/>
        </w:rPr>
        <w:t>绩效评价情况</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Style w:val="8"/>
          <w:rFonts w:hint="eastAsia" w:ascii="方正仿宋_GBK" w:hAnsi="方正仿宋_GBK" w:eastAsia="方正仿宋_GBK" w:cs="方正仿宋_GBK"/>
          <w:b w:val="0"/>
          <w:bCs w:val="0"/>
          <w:sz w:val="32"/>
          <w:szCs w:val="32"/>
          <w:highlight w:val="none"/>
          <w:shd w:val="clear" w:color="auto" w:fill="FFFFFF"/>
          <w:lang w:val="en-US" w:eastAsia="zh-CN" w:bidi="ar-SA"/>
        </w:rPr>
      </w:pPr>
      <w:r>
        <w:rPr>
          <w:rFonts w:hint="eastAsia" w:ascii="方正仿宋_GBK" w:hAnsi="方正仿宋_GBK" w:eastAsia="方正仿宋_GBK" w:cs="方正仿宋_GBK"/>
          <w:b w:val="0"/>
          <w:bCs w:val="0"/>
          <w:sz w:val="32"/>
          <w:szCs w:val="32"/>
          <w:highlight w:val="none"/>
          <w:shd w:val="clear" w:color="auto" w:fill="FFFFFF"/>
          <w:lang w:eastAsia="zh-CN" w:bidi="ar"/>
        </w:rPr>
        <w:t>我</w:t>
      </w:r>
      <w:r>
        <w:rPr>
          <w:rFonts w:hint="eastAsia" w:ascii="方正仿宋_GBK" w:hAnsi="方正仿宋_GBK" w:eastAsia="方正仿宋_GBK" w:cs="方正仿宋_GBK"/>
          <w:b w:val="0"/>
          <w:bCs w:val="0"/>
          <w:sz w:val="32"/>
          <w:szCs w:val="32"/>
          <w:highlight w:val="none"/>
          <w:shd w:val="clear" w:color="auto" w:fill="FFFFFF"/>
          <w:lang w:val="en-US" w:eastAsia="zh-CN" w:bidi="ar"/>
        </w:rPr>
        <w:t>单位</w:t>
      </w:r>
      <w:r>
        <w:rPr>
          <w:rFonts w:hint="eastAsia" w:ascii="方正仿宋_GBK" w:hAnsi="方正仿宋_GBK" w:eastAsia="方正仿宋_GBK" w:cs="方正仿宋_GBK"/>
          <w:b w:val="0"/>
          <w:bCs w:val="0"/>
          <w:sz w:val="32"/>
          <w:szCs w:val="32"/>
          <w:highlight w:val="none"/>
          <w:shd w:val="clear" w:color="auto" w:fill="FFFFFF"/>
          <w:lang w:eastAsia="zh-CN" w:bidi="ar"/>
        </w:rPr>
        <w:t>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hint="eastAsia" w:ascii="方正楷体_GBK" w:hAnsi="方正楷体_GBK" w:eastAsia="方正楷体_GBK" w:cs="方正楷体_GBK"/>
          <w:b w:val="0"/>
          <w:bCs w:val="0"/>
          <w:sz w:val="32"/>
          <w:szCs w:val="32"/>
          <w:shd w:val="clear" w:color="auto" w:fill="FFFFFF"/>
          <w:lang w:eastAsia="zh-CN"/>
        </w:rPr>
        <w:t>（含专用结余）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（十二）“三公”经费：</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val="en-US" w:eastAsia="zh-CN"/>
        </w:rPr>
        <w:t>023-76866498</w:t>
      </w:r>
    </w:p>
    <w:p>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秀山土家族苗族自治县公路事务中心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4,824.01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822.73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3,716.68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4,869.74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4,894.25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4,894.25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4,894.25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秀山土家族苗族自治县公路事务中心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4,869.74</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4,869.74</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375.03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375.03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298.03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298.03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3,692.17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3,692.17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3,692.17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3,692.17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3,688.93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3,688.93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秀山土家族苗族自治县公路事务中心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4,894.25</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3,475.99</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1,418.25</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375.03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375.03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298.03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298.03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3,716.68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1,372.53</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3,716.68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1,372.53</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3,688.93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2,344.15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1,344.78</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秀山土家族苗族自治县公路事务中心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4,824.01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822.73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822.73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45.72</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3,716.68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3,716.68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4,869.74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4,894.25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4,848.52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45.72</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4,894.25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4,894.25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4,848.52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45.72</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秀山土家族苗族自治县公路事务中心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4,848.52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3,475.99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1,372.53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822.73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375.03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375.03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298.03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298.03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149.68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3,716.68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2,344.15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1,372.53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3,716.68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2,344.15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1,372.53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3,688.93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2,344.15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1,344.78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149.19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149.19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149.19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秀山土家族苗族自治县公路事务中心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2,948.00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133.38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1,292.09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298.03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3,390.11</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秀山土家族苗族自治县公路事务中心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45.72</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45.72</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秀山土家族苗族自治县公路事务中心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秀山土家族苗族自治县公路事务中心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19.82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19.82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AFA5EBD"/>
    <w:rsid w:val="0B9335CE"/>
    <w:rsid w:val="0BF2311A"/>
    <w:rsid w:val="0C7927C4"/>
    <w:rsid w:val="0C9B098C"/>
    <w:rsid w:val="0D673E11"/>
    <w:rsid w:val="0DDA54E4"/>
    <w:rsid w:val="0E3A5F83"/>
    <w:rsid w:val="0F836721"/>
    <w:rsid w:val="0FA25D96"/>
    <w:rsid w:val="0FBD3C60"/>
    <w:rsid w:val="104218A4"/>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726F4B"/>
    <w:rsid w:val="29822748"/>
    <w:rsid w:val="29B329F3"/>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471ED"/>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E3D5BFF"/>
    <w:rsid w:val="4F0C6BA3"/>
    <w:rsid w:val="4F186D58"/>
    <w:rsid w:val="50BC1FD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D9544D"/>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4B482B"/>
    <w:rsid w:val="708F6F7F"/>
    <w:rsid w:val="70D94BD3"/>
    <w:rsid w:val="71574775"/>
    <w:rsid w:val="71C34D91"/>
    <w:rsid w:val="71EA3220"/>
    <w:rsid w:val="72DB435C"/>
    <w:rsid w:val="72E2613A"/>
    <w:rsid w:val="72EC68A3"/>
    <w:rsid w:val="72F771F4"/>
    <w:rsid w:val="73934AD2"/>
    <w:rsid w:val="73A60DD9"/>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7">
    <w:name w:val="font11"/>
    <w:basedOn w:val="7"/>
    <w:qFormat/>
    <w:uiPriority w:val="0"/>
    <w:rPr>
      <w:rFonts w:ascii="方正仿宋_GBK" w:hAnsi="方正仿宋_GBK" w:eastAsia="方正仿宋_GBK" w:cs="方正仿宋_GBK"/>
      <w:color w:val="000000"/>
      <w:sz w:val="22"/>
      <w:szCs w:val="22"/>
      <w:u w:val="none"/>
    </w:rPr>
  </w:style>
  <w:style w:type="character" w:customStyle="1" w:styleId="18">
    <w:name w:val="font01"/>
    <w:basedOn w:val="7"/>
    <w:qFormat/>
    <w:uiPriority w:val="0"/>
    <w:rPr>
      <w:rFonts w:hint="eastAsia" w:ascii="方正仿宋_GBK" w:hAnsi="方正仿宋_GBK" w:eastAsia="方正仿宋_GBK" w:cs="方正仿宋_GBK"/>
      <w:color w:val="000000"/>
      <w:sz w:val="22"/>
      <w:szCs w:val="22"/>
      <w:u w:val="none"/>
    </w:rPr>
  </w:style>
  <w:style w:type="character" w:customStyle="1" w:styleId="19">
    <w:name w:val="font71"/>
    <w:basedOn w:val="7"/>
    <w:qFormat/>
    <w:uiPriority w:val="0"/>
    <w:rPr>
      <w:rFonts w:ascii="方正黑体_GBK" w:hAnsi="方正黑体_GBK" w:eastAsia="方正黑体_GBK" w:cs="方正黑体_GBK"/>
      <w:color w:val="000000"/>
      <w:sz w:val="22"/>
      <w:szCs w:val="22"/>
      <w:u w:val="none"/>
    </w:rPr>
  </w:style>
  <w:style w:type="character" w:customStyle="1" w:styleId="20">
    <w:name w:val="font61"/>
    <w:basedOn w:val="7"/>
    <w:qFormat/>
    <w:uiPriority w:val="0"/>
    <w:rPr>
      <w:rFonts w:ascii="方正仿宋_GBK" w:hAnsi="方正仿宋_GBK" w:eastAsia="方正仿宋_GBK" w:cs="方正仿宋_GBK"/>
      <w:color w:val="000000"/>
      <w:sz w:val="22"/>
      <w:szCs w:val="22"/>
      <w:u w:val="none"/>
    </w:rPr>
  </w:style>
  <w:style w:type="character" w:customStyle="1" w:styleId="21">
    <w:name w:val="font2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10</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2025-09-29T01:02:29Z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