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重庆市秀山土家族苗族自治县应急管理综合行政执法支队</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10"/>
          <w:rFonts w:ascii="黑体" w:hAnsi="黑体" w:eastAsia="黑体" w:cs="黑体"/>
          <w:sz w:val="32"/>
          <w:szCs w:val="32"/>
          <w:shd w:val="clear" w:color="auto" w:fill="FFFFFF"/>
        </w:rPr>
      </w:pP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部门</w:t>
      </w:r>
      <w:r>
        <w:t>基本情况</w:t>
      </w: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1.</w:t>
      </w:r>
      <w:r>
        <w:rPr>
          <w:rFonts w:hint="eastAsia"/>
        </w:rPr>
        <w:t>贯彻执行国家安全生产、自然灾害、防灾减灾等法律法规及方针政策；</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2.</w:t>
      </w:r>
      <w:r>
        <w:rPr>
          <w:rFonts w:hint="eastAsia"/>
        </w:rPr>
        <w:t>负责对全县工矿商贸等生产经营单位以及地质灾害、水旱灾害、森林草原火灾等有关应急抢险和灾害救助、防震减灾等方面的违规、违法行为</w:t>
      </w:r>
      <w:r>
        <w:rPr>
          <w:rFonts w:hint="eastAsia"/>
          <w:lang w:eastAsia="zh-CN"/>
        </w:rPr>
        <w:t>，</w:t>
      </w:r>
      <w:r>
        <w:rPr>
          <w:rFonts w:hint="eastAsia"/>
        </w:rPr>
        <w:t>依法予以纠正和采取行政强制措施、实施行政处罚；</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3.</w:t>
      </w:r>
      <w:r>
        <w:rPr>
          <w:rFonts w:hint="eastAsia"/>
        </w:rPr>
        <w:t>负责查处涉及安全生产、自然灾害的举报投诉案件；</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4.</w:t>
      </w:r>
      <w:r>
        <w:rPr>
          <w:rFonts w:hint="eastAsia"/>
        </w:rPr>
        <w:t>负责查处安全生产培训机构和安全评价、检测、咨询等中介机构及特种劳动防护用品生产经营领域违法行为；</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5.</w:t>
      </w:r>
      <w:r>
        <w:rPr>
          <w:rFonts w:hint="eastAsia"/>
        </w:rPr>
        <w:t>依法承担重大安全隐患整改落实情况的执法检查；</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6.</w:t>
      </w:r>
      <w:r>
        <w:rPr>
          <w:rFonts w:hint="eastAsia"/>
        </w:rPr>
        <w:t>按照县政府授权，负责安全生产事故调查处理、批复结案及自然灾害调查评估；</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仿宋_GBK" w:cs="方正仿宋_GBK"/>
          <w:kern w:val="0"/>
          <w:szCs w:val="32"/>
        </w:rPr>
      </w:pPr>
      <w:r>
        <w:rPr>
          <w:rFonts w:hint="default"/>
        </w:rPr>
        <w:t>7.</w:t>
      </w:r>
      <w:r>
        <w:rPr>
          <w:rFonts w:hint="eastAsia"/>
        </w:rPr>
        <w:t>完成县委、县政府和主管部门交办的其他工作</w:t>
      </w:r>
      <w:r>
        <w:rPr>
          <w:rFonts w:hint="eastAsia" w:ascii="方正仿宋_GBK" w:hAnsi="方正仿宋_GBK" w:eastAsia="方正仿宋_GBK" w:cs="方正仿宋_GBK"/>
          <w:kern w:val="0"/>
          <w:szCs w:val="32"/>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eastAsia"/>
        </w:rPr>
        <w:t>为县应急管理局管理的行政执法机构，机构规格</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rPr>
      </w:pPr>
      <w:r>
        <w:rPr>
          <w:rFonts w:hint="eastAsia"/>
        </w:rPr>
        <w:t>正科级，根据工作职能，设</w:t>
      </w:r>
      <w:r>
        <w:rPr>
          <w:rFonts w:hint="default"/>
        </w:rPr>
        <w:t>4</w:t>
      </w:r>
      <w:r>
        <w:rPr>
          <w:rFonts w:hint="eastAsia"/>
        </w:rPr>
        <w:t>个工作机构，为综合科、执法一大队、执法二大队、执法三大队。</w:t>
      </w:r>
      <w:r>
        <w:rPr>
          <w:rFonts w:hint="eastAsia"/>
          <w:lang w:eastAsia="zh-CN"/>
        </w:rPr>
        <w:t>本部门</w:t>
      </w:r>
      <w:r>
        <w:rPr>
          <w:rFonts w:hint="eastAsia"/>
          <w:lang w:val="en-US" w:eastAsia="zh-CN"/>
        </w:rPr>
        <w:t xml:space="preserve">事业编制 </w:t>
      </w:r>
      <w:r>
        <w:rPr>
          <w:rFonts w:hint="default"/>
          <w:lang w:val="en-US" w:eastAsia="zh-CN"/>
        </w:rPr>
        <w:t>21</w:t>
      </w:r>
      <w:r>
        <w:rPr>
          <w:rFonts w:hint="eastAsia"/>
          <w:lang w:val="en-US" w:eastAsia="zh-CN"/>
        </w:rPr>
        <w:t>名，其中：领导职数</w:t>
      </w:r>
      <w:r>
        <w:rPr>
          <w:rFonts w:hint="default"/>
          <w:lang w:val="en-US" w:eastAsia="zh-CN"/>
        </w:rPr>
        <w:t>4</w:t>
      </w:r>
      <w:r>
        <w:rPr>
          <w:rFonts w:hint="eastAsia"/>
          <w:lang w:val="en-US" w:eastAsia="zh-CN"/>
        </w:rPr>
        <w:t>名（支队长</w:t>
      </w:r>
      <w:r>
        <w:rPr>
          <w:rFonts w:hint="default"/>
          <w:lang w:val="en-US" w:eastAsia="zh-CN"/>
        </w:rPr>
        <w:t>1</w:t>
      </w:r>
      <w:r>
        <w:rPr>
          <w:rFonts w:hint="eastAsia"/>
          <w:lang w:val="en-US" w:eastAsia="zh-CN"/>
        </w:rPr>
        <w:t>名、政委</w:t>
      </w:r>
      <w:r>
        <w:rPr>
          <w:rFonts w:hint="default"/>
          <w:lang w:val="en-US" w:eastAsia="zh-CN"/>
        </w:rPr>
        <w:t>1</w:t>
      </w:r>
      <w:r>
        <w:rPr>
          <w:rFonts w:hint="eastAsia"/>
          <w:lang w:val="en-US" w:eastAsia="zh-CN"/>
        </w:rPr>
        <w:t>名、副支队长</w:t>
      </w:r>
      <w:r>
        <w:rPr>
          <w:rFonts w:hint="default"/>
          <w:lang w:val="en-US" w:eastAsia="zh-CN"/>
        </w:rPr>
        <w:t>2</w:t>
      </w:r>
      <w:r>
        <w:rPr>
          <w:rFonts w:hint="eastAsia"/>
          <w:lang w:val="en-US" w:eastAsia="zh-CN"/>
        </w:rPr>
        <w:t>名），工作机构领导职数</w:t>
      </w:r>
      <w:r>
        <w:rPr>
          <w:rFonts w:hint="default"/>
          <w:lang w:val="en-US" w:eastAsia="zh-CN"/>
        </w:rPr>
        <w:t>4</w:t>
      </w:r>
      <w:r>
        <w:rPr>
          <w:rFonts w:hint="eastAsia"/>
          <w:lang w:val="en-US" w:eastAsia="zh-CN"/>
        </w:rPr>
        <w:t>名。</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部门</w:t>
      </w:r>
      <w:r>
        <w:t>决算</w:t>
      </w:r>
      <w:r>
        <w:rPr>
          <w:rFonts w:hint="eastAsia"/>
          <w:lang w:eastAsia="zh-CN"/>
        </w:rPr>
        <w:t>收支</w:t>
      </w:r>
      <w:r>
        <w:t>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435.38</w:t>
      </w:r>
      <w:r>
        <w:t>万元。</w:t>
      </w:r>
      <w:r>
        <w:rPr>
          <w:rFonts w:hint="default"/>
        </w:rPr>
        <w:t>收、支与2023年度相比，增加11.44万元，增长2.7%</w:t>
      </w:r>
      <w:r>
        <w:t>，主要原因是</w:t>
      </w:r>
      <w:r>
        <w:rPr>
          <w:rFonts w:hint="eastAsia"/>
          <w:lang w:val="en-US" w:eastAsia="zh-CN"/>
        </w:rPr>
        <w:t>职工工资、社保缴费等人员经费政策性调整，导致预算收支相应增加。</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t>其中：财政拨款收入</w:t>
      </w:r>
      <w:r>
        <w:rPr>
          <w:rFonts w:hint="default"/>
        </w:rPr>
        <w:t>435.38</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2</w:t>
      </w:r>
      <w:r>
        <w:t>.支出情况。</w:t>
      </w:r>
      <w:r>
        <w:rPr>
          <w:rFonts w:hint="default"/>
        </w:rPr>
        <w:t>2024</w:t>
      </w:r>
      <w:r>
        <w:t>年度支出合计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t>其中：基本支出</w:t>
      </w:r>
      <w:r>
        <w:rPr>
          <w:rFonts w:hint="default"/>
        </w:rPr>
        <w:t>435.38</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ascii="Times New Roman" w:eastAsia="宋体"/>
          <w:lang w:val="en-US" w:eastAsia="zh-CN"/>
        </w:rPr>
        <w:t>3</w:t>
      </w:r>
      <w:r>
        <w:t>.结转结余情况。</w:t>
      </w:r>
      <w:r>
        <w:rPr>
          <w:rFonts w:hint="default"/>
        </w:rPr>
        <w:t>2024</w:t>
      </w:r>
      <w:r>
        <w:t>年度年末结转和结余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与2023年度相比，无增减</w:t>
      </w:r>
      <w:r>
        <w:t>，主要原因是</w:t>
      </w:r>
      <w:r>
        <w:rPr>
          <w:rFonts w:hint="eastAsia"/>
          <w:lang w:eastAsia="zh-CN"/>
        </w:rPr>
        <w:t>本部门</w:t>
      </w:r>
      <w:r>
        <w:rPr>
          <w:rFonts w:hint="eastAsia"/>
        </w:rPr>
        <w:t>无结转结余。</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435.38</w:t>
      </w:r>
      <w:r>
        <w:t>万元。与</w:t>
      </w:r>
      <w:r>
        <w:rPr>
          <w:rFonts w:hint="default"/>
        </w:rPr>
        <w:t>2023</w:t>
      </w:r>
      <w:r>
        <w:t>年</w:t>
      </w:r>
      <w:r>
        <w:rPr>
          <w:rFonts w:hint="eastAsia"/>
          <w:lang w:eastAsia="zh-CN"/>
        </w:rPr>
        <w:t>度</w:t>
      </w:r>
      <w:r>
        <w:t>相比，</w:t>
      </w:r>
      <w:r>
        <w:rPr>
          <w:rFonts w:hint="default"/>
        </w:rPr>
        <w:t>财政拨款收、支总计各增加11.44万元，增长2.7%</w:t>
      </w:r>
      <w:r>
        <w:t>。主要原因是</w:t>
      </w:r>
      <w:r>
        <w:rPr>
          <w:rFonts w:hint="eastAsia"/>
          <w:lang w:val="en-US" w:eastAsia="zh-CN"/>
        </w:rPr>
        <w:t>职工工资、社保缴费等人员经费政策性调整，导致预算收、支相应增加。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rPr>
          <w:rFonts w:hint="default"/>
        </w:rPr>
        <w:t>较年初预算数减少6.59万元，下降1.5%</w:t>
      </w:r>
      <w:r>
        <w:t>。主要原因</w:t>
      </w:r>
      <w:r>
        <w:rPr>
          <w:rFonts w:hint="eastAsia"/>
          <w:lang w:eastAsia="zh-CN"/>
        </w:rPr>
        <w:t>是本年度调出</w:t>
      </w:r>
      <w:r>
        <w:rPr>
          <w:rFonts w:hint="eastAsia"/>
          <w:lang w:val="en-US" w:eastAsia="zh-CN"/>
        </w:rPr>
        <w:t>1人。</w:t>
      </w:r>
      <w:r>
        <w:t>此外，年初财政拨款结转和结余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rPr>
          <w:rFonts w:hint="default"/>
        </w:rPr>
        <w:t>较年初预算数减少6.59万元，下降1.5%</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56.15</w:t>
      </w:r>
      <w:r>
        <w:t>万元，占</w:t>
      </w:r>
      <w:r>
        <w:rPr>
          <w:rFonts w:hint="default"/>
        </w:rPr>
        <w:t>12.9%</w:t>
      </w:r>
      <w:r>
        <w:t>，</w:t>
      </w:r>
      <w:r>
        <w:rPr>
          <w:rFonts w:hint="default"/>
        </w:rPr>
        <w:t>较年初预算数减少1.11万元，下降1.9%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2</w:t>
      </w:r>
      <w:r>
        <w:t>）卫生健康支出</w:t>
      </w:r>
      <w:r>
        <w:rPr>
          <w:rFonts w:hint="default"/>
        </w:rPr>
        <w:t>28.11</w:t>
      </w:r>
      <w:r>
        <w:t>万元，占</w:t>
      </w:r>
      <w:r>
        <w:rPr>
          <w:rFonts w:hint="default"/>
        </w:rPr>
        <w:t>6.5%</w:t>
      </w:r>
      <w:r>
        <w:t>，</w:t>
      </w:r>
      <w:r>
        <w:rPr>
          <w:rFonts w:hint="default"/>
        </w:rPr>
        <w:t>较年初预算数减少0.55万元，下降1.9%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w:t>
      </w:r>
      <w:r>
        <w:rPr>
          <w:rFonts w:hint="eastAsia"/>
          <w:lang w:val="en-US" w:eastAsia="zh-CN"/>
        </w:rPr>
        <w:t>3</w:t>
      </w:r>
      <w:r>
        <w:t>）住房保障支出</w:t>
      </w:r>
      <w:r>
        <w:rPr>
          <w:rFonts w:hint="default"/>
        </w:rPr>
        <w:t>31.90</w:t>
      </w:r>
      <w:r>
        <w:t>万元，占</w:t>
      </w:r>
      <w:r>
        <w:rPr>
          <w:rFonts w:hint="default"/>
        </w:rPr>
        <w:t>7.3%</w:t>
      </w:r>
      <w:r>
        <w:t>，</w:t>
      </w:r>
      <w:r>
        <w:rPr>
          <w:rFonts w:hint="default"/>
        </w:rPr>
        <w:t>较年初预算数减少0.90万元，下降2.7%</w:t>
      </w:r>
      <w:r>
        <w:t>，主要原因是</w:t>
      </w:r>
      <w:r>
        <w:rPr>
          <w:rFonts w:hint="eastAsia"/>
          <w:lang w:eastAsia="zh-CN"/>
        </w:rPr>
        <w:t>本年度调出</w:t>
      </w:r>
      <w:r>
        <w:rPr>
          <w:rFonts w:hint="eastAsia"/>
          <w:lang w:val="en-US" w:eastAsia="zh-CN"/>
        </w:rPr>
        <w:t xml:space="preserve">1人。   </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4</w:t>
      </w:r>
      <w:r>
        <w:t>）灾害防治及应急管理支出</w:t>
      </w:r>
      <w:r>
        <w:rPr>
          <w:rFonts w:hint="default"/>
        </w:rPr>
        <w:t>319.22</w:t>
      </w:r>
      <w:r>
        <w:t>万元，占</w:t>
      </w:r>
      <w:r>
        <w:rPr>
          <w:rFonts w:hint="default"/>
        </w:rPr>
        <w:t>73.3%</w:t>
      </w:r>
      <w:r>
        <w:t>，</w:t>
      </w:r>
      <w:r>
        <w:rPr>
          <w:rFonts w:hint="default"/>
        </w:rPr>
        <w:t>较年初预算数减少4.03万元，下降1.3%</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lang w:eastAsia="zh-CN"/>
        </w:rPr>
        <w:t>本部门</w:t>
      </w:r>
      <w:r>
        <w:rPr>
          <w:rFonts w:hint="eastAsia"/>
        </w:rPr>
        <w:t>无结转结余情况。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435.38</w:t>
      </w:r>
      <w:r>
        <w:t>万元。其中：人员经费</w:t>
      </w:r>
      <w:r>
        <w:rPr>
          <w:rFonts w:hint="default"/>
        </w:rPr>
        <w:t>388.58</w:t>
      </w:r>
      <w:r>
        <w:t>万元，</w:t>
      </w:r>
      <w:r>
        <w:rPr>
          <w:rFonts w:hint="default"/>
        </w:rPr>
        <w:t>与2023年度相比，增加10.22万元，增长2.7%</w:t>
      </w:r>
      <w:r>
        <w:t>，主要原因是</w:t>
      </w:r>
      <w:r>
        <w:rPr>
          <w:rFonts w:hint="eastAsia"/>
        </w:rPr>
        <w:t>2024年社保、</w:t>
      </w:r>
      <w:r>
        <w:rPr>
          <w:rFonts w:hint="eastAsia"/>
          <w:lang w:eastAsia="zh-CN"/>
        </w:rPr>
        <w:t>公积金基数调整</w:t>
      </w:r>
      <w:r>
        <w:rPr>
          <w:rFonts w:hint="eastAsia"/>
        </w:rPr>
        <w:t>，导致该项目支出增加。</w:t>
      </w:r>
      <w:r>
        <w:t>人员经费用途主要包括</w:t>
      </w:r>
      <w:r>
        <w:rPr>
          <w:rFonts w:hint="eastAsia"/>
        </w:rPr>
        <w:t>社会保障和就业支出、卫生健康支出、住房保障支出等。</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 w:val="32"/>
          <w:szCs w:val="32"/>
        </w:rPr>
      </w:pPr>
      <w:r>
        <w:t>公用经费</w:t>
      </w:r>
      <w:r>
        <w:rPr>
          <w:rFonts w:hint="default"/>
        </w:rPr>
        <w:t>46.80</w:t>
      </w:r>
      <w:r>
        <w:t>万元，</w:t>
      </w:r>
      <w:r>
        <w:rPr>
          <w:rFonts w:hint="default"/>
        </w:rPr>
        <w:t>与2023年度相比，增加1.22万元，增长2.7%</w:t>
      </w:r>
      <w:r>
        <w:t>，主要原因是</w:t>
      </w:r>
      <w:r>
        <w:rPr>
          <w:rFonts w:hint="eastAsia"/>
          <w:lang w:val="en-US" w:eastAsia="zh-CN"/>
        </w:rPr>
        <w:t>工作任务加重，办公费、邮电费等支出增加。</w:t>
      </w:r>
      <w:r>
        <w:t>公用经费用途主要包括</w:t>
      </w:r>
      <w:r>
        <w:rPr>
          <w:rFonts w:hint="eastAsia"/>
        </w:rPr>
        <w:t>办公费、电费、邮电费、差旅费、维护费</w:t>
      </w:r>
      <w:r>
        <w:rPr>
          <w:rFonts w:hint="eastAsia"/>
          <w:lang w:eastAsia="zh-CN"/>
        </w:rPr>
        <w:t>、物业管理费</w:t>
      </w:r>
      <w:r>
        <w:rPr>
          <w:rFonts w:hint="eastAsia"/>
        </w:rPr>
        <w:t>等</w:t>
      </w:r>
      <w:r>
        <w:rPr>
          <w:rFonts w:hint="eastAsia"/>
          <w:lang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lang w:eastAsia="zh-CN"/>
        </w:rPr>
        <w:t>本部门</w:t>
      </w:r>
      <w:r>
        <w:rPr>
          <w:rFonts w:hint="eastAsia"/>
        </w:rPr>
        <w:t>2024年度无政府性基金预算财政拨款收支。</w:t>
      </w:r>
      <w:r>
        <w:t>本年支出</w:t>
      </w:r>
      <w:r>
        <w:rPr>
          <w:rFonts w:hint="default"/>
        </w:rPr>
        <w:t>0.00</w:t>
      </w:r>
      <w:r>
        <w:t>万元，</w:t>
      </w:r>
      <w:r>
        <w:rPr>
          <w:rFonts w:hint="default"/>
        </w:rPr>
        <w:t>与2023年度相比，无增减</w:t>
      </w:r>
      <w:r>
        <w:t>，主要原因是</w:t>
      </w:r>
      <w:r>
        <w:rPr>
          <w:rFonts w:hint="eastAsia"/>
          <w:lang w:eastAsia="zh-CN"/>
        </w:rPr>
        <w:t>本部门</w:t>
      </w:r>
      <w:r>
        <w:rPr>
          <w:rFonts w:hint="eastAsia"/>
        </w:rPr>
        <w:t>2024年度无政府性基金预算财政拨款收支。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（六）国有资本经营预算财政拨款支出决算情况说明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eastAsia"/>
        </w:rPr>
        <w:t>2024年度无国有资本经营预算财政拨款支出。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0.07</w:t>
      </w:r>
      <w:r>
        <w:t>万元，</w:t>
      </w:r>
      <w:r>
        <w:rPr>
          <w:rFonts w:hint="default"/>
        </w:rPr>
        <w:t>较年初预算数减少0.08万元，下降53.3%</w:t>
      </w:r>
      <w:r>
        <w:t>，主要原因是</w:t>
      </w:r>
      <w:r>
        <w:rPr>
          <w:rFonts w:hint="default"/>
          <w:lang w:val="en-US" w:eastAsia="zh-CN"/>
        </w:rPr>
        <w:t>认真贯彻落实中央</w:t>
      </w:r>
      <w:r>
        <w:rPr>
          <w:rFonts w:hint="eastAsia" w:ascii="方正仿宋_GBK" w:hAnsi="方正仿宋_GBK" w:eastAsia="方正仿宋_GBK" w:cs="方正仿宋_GBK"/>
          <w:lang w:val="en-US" w:eastAsia="zh-CN"/>
        </w:rPr>
        <w:t>“</w:t>
      </w:r>
      <w:r>
        <w:rPr>
          <w:rFonts w:hint="default"/>
          <w:lang w:val="en-US" w:eastAsia="zh-CN"/>
        </w:rPr>
        <w:t>八项规定</w:t>
      </w:r>
      <w:r>
        <w:rPr>
          <w:rFonts w:hint="eastAsia" w:ascii="方正仿宋_GBK" w:hAnsi="方正仿宋_GBK" w:eastAsia="方正仿宋_GBK" w:cs="方正仿宋_GBK"/>
          <w:lang w:val="en-US" w:eastAsia="zh-CN"/>
        </w:rPr>
        <w:t>”</w:t>
      </w:r>
      <w:r>
        <w:rPr>
          <w:rFonts w:hint="default"/>
          <w:lang w:val="en-US" w:eastAsia="zh-CN"/>
        </w:rPr>
        <w:t>精神和厉行节约要求，按照要求从严控制</w:t>
      </w:r>
      <w:r>
        <w:rPr>
          <w:rFonts w:hint="eastAsia" w:ascii="方正仿宋_GBK" w:hAnsi="方正仿宋_GBK"/>
          <w:lang w:val="en-US" w:eastAsia="zh-CN"/>
        </w:rPr>
        <w:t>“</w:t>
      </w:r>
      <w:r>
        <w:rPr>
          <w:rFonts w:hint="default"/>
          <w:lang w:val="en-US" w:eastAsia="zh-CN"/>
        </w:rPr>
        <w:t>三公</w:t>
      </w:r>
      <w:r>
        <w:rPr>
          <w:rFonts w:hint="eastAsia" w:ascii="方正仿宋_GBK" w:hAnsi="方正仿宋_GBK" w:eastAsia="方正仿宋_GBK" w:cs="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default"/>
        </w:rPr>
        <w:t>较上年支出数无增减</w:t>
      </w:r>
      <w:r>
        <w:t>，主要原因是</w:t>
      </w:r>
      <w:r>
        <w:rPr>
          <w:rFonts w:ascii="方正仿宋_GBK" w:hAnsi="方正仿宋_GBK"/>
        </w:rPr>
        <w:t>“</w:t>
      </w:r>
      <w:r>
        <w:t>三公</w:t>
      </w:r>
      <w:r>
        <w:rPr>
          <w:rFonts w:ascii="方正仿宋_GBK" w:hAnsi="方正仿宋_GBK"/>
        </w:rPr>
        <w:t>”</w:t>
      </w:r>
      <w:r>
        <w:t>经费支出</w:t>
      </w:r>
      <w:r>
        <w:rPr>
          <w:rFonts w:hint="eastAsia"/>
          <w:lang w:eastAsia="zh-CN"/>
        </w:rPr>
        <w:t>实际发生金额小，四舍五入无变化。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hint="eastAsia"/>
          <w:lang w:eastAsia="zh-CN"/>
        </w:rPr>
        <w:t>本部门</w:t>
      </w:r>
      <w:r>
        <w:t>因公出国（境）费用</w:t>
      </w:r>
      <w:r>
        <w:rPr>
          <w:rFonts w:hint="default"/>
        </w:rPr>
        <w:t>0.00</w:t>
      </w:r>
      <w:r>
        <w:t>万元，费用支出</w:t>
      </w:r>
      <w:r>
        <w:rPr>
          <w:rFonts w:hint="default"/>
        </w:rPr>
        <w:t>较年初预算数无增减</w:t>
      </w:r>
      <w:r>
        <w:t>，主要原因是</w:t>
      </w:r>
      <w:r>
        <w:rPr>
          <w:rFonts w:hint="eastAsia"/>
          <w:lang w:eastAsia="zh-CN"/>
        </w:rPr>
        <w:t>本年度未安排人员因公出国。</w:t>
      </w:r>
      <w:r>
        <w:rPr>
          <w:rFonts w:hint="default"/>
        </w:rPr>
        <w:t>较上年支出数无增减</w:t>
      </w:r>
      <w:r>
        <w:t>，主要原因是</w:t>
      </w:r>
      <w:r>
        <w:rPr>
          <w:rFonts w:hint="eastAsia"/>
          <w:lang w:val="en-US" w:eastAsia="zh-CN"/>
        </w:rPr>
        <w:t>2023年、2024年均</w:t>
      </w:r>
      <w:r>
        <w:rPr>
          <w:rFonts w:hint="eastAsia"/>
          <w:lang w:eastAsia="zh-CN"/>
        </w:rPr>
        <w:t>未安排人员因公出国。</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本部门无公务用车购置计划。</w:t>
      </w:r>
      <w:r>
        <w:rPr>
          <w:rFonts w:hint="default"/>
        </w:rPr>
        <w:t>较上年支出数无增减</w:t>
      </w:r>
      <w:r>
        <w:t>，主要原因是</w:t>
      </w:r>
      <w:r>
        <w:rPr>
          <w:rFonts w:hint="eastAsia"/>
          <w:lang w:val="en-US" w:eastAsia="zh-CN"/>
        </w:rPr>
        <w:t>2023年、2024年均</w:t>
      </w:r>
      <w:r>
        <w:rPr>
          <w:rFonts w:hint="eastAsia"/>
          <w:lang w:eastAsia="zh-CN"/>
        </w:rPr>
        <w:t>未计划</w:t>
      </w:r>
      <w:r>
        <w:t>公务</w:t>
      </w:r>
      <w:r>
        <w:rPr>
          <w:rFonts w:hint="eastAsia"/>
          <w:lang w:eastAsia="zh-CN"/>
        </w:rPr>
        <w:t>用</w:t>
      </w:r>
      <w:r>
        <w:t>车购置</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eastAsia="zh-CN"/>
        </w:rPr>
        <w:t>公务用车运行维护费0.00万元，费用支出较年初预算数</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eastAsia="zh-CN"/>
        </w:rPr>
      </w:pPr>
      <w:r>
        <w:rPr>
          <w:rFonts w:hint="default"/>
        </w:rPr>
        <w:t>无增减</w:t>
      </w:r>
      <w:r>
        <w:t>，主要原因是</w:t>
      </w:r>
      <w:r>
        <w:rPr>
          <w:rFonts w:hint="eastAsia"/>
          <w:lang w:eastAsia="zh-CN"/>
        </w:rPr>
        <w:t>本部门和应急局混编办公，车辆使用由秀山县应急管理局统一安排，相关支出在秀山县应急局报销。</w:t>
      </w:r>
      <w:r>
        <w:rPr>
          <w:rFonts w:hint="default"/>
        </w:rPr>
        <w:t>较上年支出数无增减</w:t>
      </w:r>
      <w:r>
        <w:t>，主要原因是</w:t>
      </w:r>
      <w:r>
        <w:rPr>
          <w:rFonts w:hint="eastAsia"/>
          <w:lang w:eastAsia="zh-CN"/>
        </w:rPr>
        <w:t>本部门和应急局混编办公，车辆使用由秀山县应急管理局统一安排，相关支出在秀山县应急局报销。</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公务接待费</w:t>
      </w:r>
      <w:r>
        <w:rPr>
          <w:rFonts w:hint="default"/>
        </w:rPr>
        <w:t>0.07</w:t>
      </w:r>
      <w:r>
        <w:t>万元，主要用于接待市应急管理执法总队到秀山检查执法装备配备使用情况</w:t>
      </w:r>
      <w:r>
        <w:rPr>
          <w:rFonts w:hint="eastAsia"/>
          <w:lang w:eastAsia="zh-CN"/>
        </w:rPr>
        <w:t>，</w:t>
      </w:r>
      <w:r>
        <w:t>费用支出</w:t>
      </w:r>
      <w:r>
        <w:rPr>
          <w:rFonts w:hint="default"/>
        </w:rPr>
        <w:t>较年初预算数减少0.08万元，下降53.3%</w:t>
      </w:r>
      <w:r>
        <w:t>，主要原因是</w:t>
      </w:r>
      <w:r>
        <w:rPr>
          <w:rFonts w:hint="default"/>
          <w:lang w:val="en-US" w:eastAsia="zh-CN"/>
        </w:rPr>
        <w:t>认真贯彻落实中央</w:t>
      </w:r>
      <w:r>
        <w:rPr>
          <w:rFonts w:hint="default" w:ascii="方正仿宋_GBK" w:hAnsi="方正仿宋_GBK"/>
          <w:lang w:val="en-US" w:eastAsia="zh-CN"/>
        </w:rPr>
        <w:t>“</w:t>
      </w:r>
      <w:r>
        <w:rPr>
          <w:rFonts w:hint="default"/>
          <w:lang w:val="en-US" w:eastAsia="zh-CN"/>
        </w:rPr>
        <w:t>八项规定</w:t>
      </w:r>
      <w:r>
        <w:rPr>
          <w:rFonts w:hint="default" w:ascii="方正仿宋_GBK" w:hAnsi="方正仿宋_GBK"/>
          <w:lang w:val="en-US" w:eastAsia="zh-CN"/>
        </w:rPr>
        <w:t>”</w:t>
      </w:r>
      <w:r>
        <w:rPr>
          <w:rFonts w:hint="default"/>
          <w:lang w:val="en-US" w:eastAsia="zh-CN"/>
        </w:rPr>
        <w:t>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eastAsia"/>
          <w:lang w:val="en-US" w:eastAsia="zh-CN"/>
        </w:rPr>
        <w:t>。</w:t>
      </w:r>
      <w:r>
        <w:rPr>
          <w:rFonts w:hint="default"/>
        </w:rPr>
        <w:t>较上年支出数无增减</w:t>
      </w:r>
      <w:r>
        <w:t>，主要原因是</w:t>
      </w:r>
      <w:r>
        <w:rPr>
          <w:rFonts w:hint="eastAsia"/>
          <w:lang w:val="en-US" w:eastAsia="zh-CN"/>
        </w:rPr>
        <w:t>2023年、2024年均只接待一次，金额相差小，四舍五入无变化。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hint="eastAsia"/>
          <w:lang w:eastAsia="zh-CN"/>
        </w:rPr>
        <w:t>本部门</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1</w:t>
      </w:r>
      <w:r>
        <w:t>批次</w:t>
      </w:r>
      <w:r>
        <w:rPr>
          <w:rFonts w:hint="default"/>
        </w:rPr>
        <w:t>8</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w:t>
      </w:r>
      <w:r>
        <w:rPr>
          <w:rFonts w:hint="eastAsia"/>
          <w:lang w:eastAsia="zh-CN"/>
        </w:rPr>
        <w:t>本部门</w:t>
      </w:r>
      <w:r>
        <w:t>人均接待费</w:t>
      </w:r>
      <w:r>
        <w:rPr>
          <w:rFonts w:hint="default"/>
        </w:rPr>
        <w:t>88.75</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本年度会议费支出</w:t>
      </w:r>
      <w:r>
        <w:rPr>
          <w:rFonts w:hint="default"/>
        </w:rPr>
        <w:t>0.00</w:t>
      </w:r>
      <w:r>
        <w:t>万元，</w:t>
      </w:r>
      <w:r>
        <w:rPr>
          <w:rFonts w:hint="default"/>
        </w:rPr>
        <w:t>与2023年度相比，无增减</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r>
        <w:t>本年度培训费支出</w:t>
      </w:r>
      <w:r>
        <w:rPr>
          <w:rFonts w:hint="default"/>
        </w:rPr>
        <w:t>0.28</w:t>
      </w:r>
      <w:r>
        <w:t>万元，</w:t>
      </w:r>
      <w:r>
        <w:rPr>
          <w:rFonts w:hint="default"/>
        </w:rPr>
        <w:t>与2023年度相比，减少0.27万元，下降49.1%</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r>
        <w:t>本年度差旅费支出</w:t>
      </w:r>
      <w:r>
        <w:rPr>
          <w:rFonts w:hint="default"/>
        </w:rPr>
        <w:t>0.22</w:t>
      </w:r>
      <w:r>
        <w:t>万元，</w:t>
      </w:r>
      <w:r>
        <w:rPr>
          <w:rFonts w:hint="default"/>
        </w:rPr>
        <w:t>与2023年度相比，减少0.56万元，下降71.8%</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（二）机关运行经费情况说明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hint="eastAsia"/>
          <w:lang w:eastAsia="zh-CN"/>
        </w:rPr>
        <w:t>本部门</w:t>
      </w:r>
      <w:r>
        <w:t>机关运行经费支出</w:t>
      </w:r>
      <w:r>
        <w:rPr>
          <w:rFonts w:hint="default"/>
        </w:rPr>
        <w:t>46.80</w:t>
      </w:r>
      <w:r>
        <w:t>万元，机关运行经费主要用于开支</w:t>
      </w:r>
      <w:r>
        <w:rPr>
          <w:rFonts w:hint="default"/>
          <w:lang w:val="en-US" w:eastAsia="zh-CN"/>
        </w:rPr>
        <w:t>办公费</w:t>
      </w:r>
      <w:r>
        <w:rPr>
          <w:rFonts w:hint="eastAsia"/>
          <w:lang w:val="en-US" w:eastAsia="zh-CN"/>
        </w:rPr>
        <w:t>16.80</w:t>
      </w:r>
      <w:r>
        <w:rPr>
          <w:rFonts w:hint="default"/>
          <w:lang w:val="en-US" w:eastAsia="zh-CN"/>
        </w:rPr>
        <w:t>万元，</w:t>
      </w:r>
      <w:r>
        <w:rPr>
          <w:rFonts w:hint="eastAsia"/>
          <w:lang w:val="en-US" w:eastAsia="zh-CN"/>
        </w:rPr>
        <w:t>邮电费6.14万元，</w:t>
      </w:r>
      <w:r>
        <w:rPr>
          <w:rFonts w:hint="default"/>
          <w:lang w:val="en-US" w:eastAsia="zh-CN"/>
        </w:rPr>
        <w:t>差旅费</w:t>
      </w:r>
      <w:r>
        <w:rPr>
          <w:rFonts w:hint="eastAsia"/>
          <w:lang w:val="en-US" w:eastAsia="zh-CN"/>
        </w:rPr>
        <w:t>0.22</w:t>
      </w:r>
      <w:r>
        <w:rPr>
          <w:rFonts w:hint="default"/>
          <w:lang w:val="en-US" w:eastAsia="zh-CN"/>
        </w:rPr>
        <w:t>万元，</w:t>
      </w:r>
      <w:r>
        <w:rPr>
          <w:rFonts w:hint="eastAsia"/>
          <w:lang w:val="en-US" w:eastAsia="zh-CN"/>
        </w:rPr>
        <w:t>培训费0.28万元，公务接待费0.07万元，工会经费0.97万元，</w:t>
      </w:r>
      <w:r>
        <w:rPr>
          <w:rFonts w:hint="default"/>
          <w:lang w:val="en-US" w:eastAsia="zh-CN"/>
        </w:rPr>
        <w:t>其他交通费</w:t>
      </w:r>
      <w:r>
        <w:rPr>
          <w:rFonts w:hint="eastAsia"/>
          <w:lang w:val="en-US" w:eastAsia="zh-CN"/>
        </w:rPr>
        <w:t>17.75</w:t>
      </w:r>
      <w:r>
        <w:rPr>
          <w:rFonts w:hint="default"/>
          <w:lang w:val="en-US" w:eastAsia="zh-CN"/>
        </w:rPr>
        <w:t>万元</w:t>
      </w:r>
      <w:r>
        <w:rPr>
          <w:rFonts w:hint="eastAsia"/>
          <w:lang w:val="en-US" w:eastAsia="zh-CN"/>
        </w:rPr>
        <w:t>，其</w:t>
      </w:r>
      <w:r>
        <w:rPr>
          <w:rFonts w:hint="default"/>
          <w:lang w:val="en-US" w:eastAsia="zh-CN"/>
        </w:rPr>
        <w:t>他商品和服务支出</w:t>
      </w:r>
      <w:r>
        <w:rPr>
          <w:rFonts w:hint="eastAsia"/>
          <w:lang w:val="en-US" w:eastAsia="zh-CN"/>
        </w:rPr>
        <w:t>4.30万元</w:t>
      </w:r>
      <w:r>
        <w:rPr>
          <w:rFonts w:hint="default"/>
          <w:lang w:val="en-US" w:eastAsia="zh-CN"/>
        </w:rPr>
        <w:t>。</w:t>
      </w:r>
      <w:r>
        <w:t>机关运行经费</w:t>
      </w:r>
      <w:r>
        <w:rPr>
          <w:rFonts w:hint="default"/>
        </w:rPr>
        <w:t>较上年支出数增加1.22万元，增长2.7%</w:t>
      </w:r>
      <w:r>
        <w:t>，主要原因</w:t>
      </w:r>
      <w:r>
        <w:rPr>
          <w:rFonts w:hint="eastAsia"/>
          <w:lang w:eastAsia="zh-CN"/>
        </w:rPr>
        <w:t>是本年度根据实际工作情况需要采购办公用品，导致办公费用增加。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截至</w:t>
      </w:r>
      <w:r>
        <w:rPr>
          <w:rFonts w:hint="default"/>
        </w:rPr>
        <w:t>2024</w:t>
      </w:r>
      <w:r>
        <w:t>年</w:t>
      </w:r>
      <w:r>
        <w:rPr>
          <w:rFonts w:hint="default"/>
        </w:rPr>
        <w:t>12</w:t>
      </w:r>
      <w:r>
        <w:t>月</w:t>
      </w:r>
      <w:r>
        <w:rPr>
          <w:rFonts w:hint="default"/>
        </w:rPr>
        <w:t>31</w:t>
      </w:r>
      <w:r>
        <w:t>日，</w:t>
      </w:r>
      <w:r>
        <w:rPr>
          <w:rFonts w:hint="eastAsia"/>
          <w:lang w:eastAsia="zh-CN"/>
        </w:rPr>
        <w:t>本部门</w:t>
      </w:r>
      <w:r>
        <w:t>共有车辆</w:t>
      </w:r>
      <w:r>
        <w:rPr>
          <w:rFonts w:hint="default"/>
        </w:rPr>
        <w:t>0</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0</w:t>
      </w:r>
      <w:r>
        <w:t>辆、执法执勤用车</w:t>
      </w:r>
      <w:r>
        <w:rPr>
          <w:rFonts w:hint="default"/>
        </w:rPr>
        <w:t>0</w:t>
      </w:r>
      <w:r>
        <w:t>辆，特种专业技术用车</w:t>
      </w:r>
      <w:r>
        <w:rPr>
          <w:rFonts w:hint="default"/>
        </w:rPr>
        <w:t>0</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val="en-US" w:eastAsia="zh-CN"/>
        </w:rPr>
        <w:t>（四）</w:t>
      </w:r>
      <w:r>
        <w:rPr>
          <w:rFonts w:hint="eastAsia"/>
        </w:rPr>
        <w:t>政府采购支出情况说明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lang w:val="en-US" w:eastAsia="zh-CN"/>
        </w:rPr>
        <w:t>202</w:t>
      </w:r>
      <w:r>
        <w:rPr>
          <w:rFonts w:hint="eastAsia"/>
          <w:lang w:val="en-US" w:eastAsia="zh-CN"/>
        </w:rPr>
        <w:t>4</w:t>
      </w:r>
      <w:r>
        <w:rPr>
          <w:rFonts w:hint="default"/>
          <w:lang w:val="en-US" w:eastAsia="zh-CN"/>
        </w:rPr>
        <w:t>年度</w:t>
      </w:r>
      <w:r>
        <w:rPr>
          <w:rFonts w:hint="eastAsia"/>
          <w:lang w:eastAsia="zh-CN"/>
        </w:rPr>
        <w:t>本部门</w:t>
      </w:r>
      <w:r>
        <w:rPr>
          <w:rFonts w:hint="default"/>
          <w:lang w:val="en-US" w:eastAsia="zh-CN"/>
        </w:rPr>
        <w:t>未发生政府采购事项，无相关经费支出</w:t>
      </w:r>
      <w:r>
        <w:rPr>
          <w:rFonts w:hint="eastAsia"/>
          <w:lang w:val="en-US" w:eastAsia="zh-CN"/>
        </w:rPr>
        <w:t>。</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（一）部门自评情况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根据预算绩效管理要求，我部门对部门整体开展了绩效</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rPr>
          <w:rFonts w:hint="eastAsia"/>
          <w:lang w:val="en-US" w:eastAsia="zh-CN"/>
        </w:rPr>
        <w:t>自评，由于我部门无项目支出，暂未对财政拨款项目支出开展绩效评价。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99695</wp:posOffset>
            </wp:positionH>
            <wp:positionV relativeFrom="paragraph">
              <wp:posOffset>83820</wp:posOffset>
            </wp:positionV>
            <wp:extent cx="5611495" cy="3085465"/>
            <wp:effectExtent l="0" t="0" r="8255" b="635"/>
            <wp:wrapTopAndBottom/>
            <wp:docPr id="2" name="图片 2" descr="{747EBA2C-E0CC-41A2-ABA0-299EA3805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7EBA2C-E0CC-41A2-ABA0-299EA38051B4}"/>
                    <pic:cNvPicPr>
                      <a:picLocks noChangeAspect="1"/>
                    </pic:cNvPicPr>
                  </pic:nvPicPr>
                  <pic:blipFill>
                    <a:blip r:embed="rId7"/>
                    <a:stretch>
                      <a:fillRect/>
                    </a:stretch>
                  </pic:blipFill>
                  <pic:spPr>
                    <a:xfrm>
                      <a:off x="0" y="0"/>
                      <a:ext cx="5611495" cy="3085465"/>
                    </a:xfrm>
                    <a:prstGeom prst="rect">
                      <a:avLst/>
                    </a:prstGeom>
                  </pic:spPr>
                </pic:pic>
              </a:graphicData>
            </a:graphic>
          </wp:anchor>
        </w:drawing>
      </w:r>
      <w:r>
        <w:rPr>
          <w:rFonts w:hint="eastAsia"/>
          <w:lang w:val="en-US" w:eastAsia="zh-CN"/>
        </w:rPr>
        <w:t>（二）部门绩效评价情况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我部门未组织开展绩效评价。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（三）财政绩效评价情况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县财政局未委托第三方对我部门开展绩效评价。</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（一）财政拨款收入：</w:t>
      </w:r>
      <w:r>
        <w:rPr>
          <w:rStyle w:val="21"/>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（二）事业收入：</w:t>
      </w:r>
      <w:r>
        <w:rPr>
          <w:rStyle w:val="21"/>
        </w:rPr>
        <w:t>指事业单位开展专业业务活动及其辅助活动取得的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（三）经营收入：</w:t>
      </w:r>
      <w:r>
        <w:rPr>
          <w:rStyle w:val="21"/>
        </w:rPr>
        <w:t>指事业单位在专业业务活动及其辅助活动之外开展非独立核算经营活动取得的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（四）其他收入：</w:t>
      </w:r>
      <w:r>
        <w:rPr>
          <w:rStyle w:val="21"/>
        </w:rPr>
        <w:t>指单位取得的除</w:t>
      </w:r>
      <w:r>
        <w:rPr>
          <w:rStyle w:val="21"/>
          <w:rFonts w:ascii="方正仿宋_GBK" w:hAnsi="方正仿宋_GBK"/>
        </w:rPr>
        <w:t>“</w:t>
      </w:r>
      <w:r>
        <w:rPr>
          <w:rStyle w:val="21"/>
        </w:rPr>
        <w:t>财政拨款收入</w:t>
      </w:r>
      <w:r>
        <w:rPr>
          <w:rStyle w:val="21"/>
          <w:rFonts w:ascii="方正仿宋_GBK" w:hAnsi="方正仿宋_GBK"/>
        </w:rPr>
        <w:t>”</w:t>
      </w:r>
      <w:r>
        <w:rPr>
          <w:rStyle w:val="21"/>
        </w:rPr>
        <w:t>、</w:t>
      </w:r>
      <w:r>
        <w:rPr>
          <w:rStyle w:val="21"/>
          <w:rFonts w:ascii="方正仿宋_GBK" w:hAnsi="方正仿宋_GBK"/>
        </w:rPr>
        <w:t>“</w:t>
      </w:r>
      <w:r>
        <w:rPr>
          <w:rStyle w:val="21"/>
        </w:rPr>
        <w:t>事业收入</w:t>
      </w:r>
      <w:r>
        <w:rPr>
          <w:rStyle w:val="21"/>
          <w:rFonts w:ascii="方正仿宋_GBK" w:hAnsi="方正仿宋_GBK"/>
        </w:rPr>
        <w:t>”</w:t>
      </w:r>
      <w:r>
        <w:rPr>
          <w:rStyle w:val="21"/>
        </w:rPr>
        <w:t>、</w:t>
      </w:r>
      <w:r>
        <w:rPr>
          <w:rStyle w:val="21"/>
          <w:rFonts w:ascii="方正仿宋_GBK" w:hAnsi="方正仿宋_GBK"/>
        </w:rPr>
        <w:t>“</w:t>
      </w:r>
      <w:r>
        <w:rPr>
          <w:rStyle w:val="21"/>
        </w:rPr>
        <w:t>经营收入</w:t>
      </w:r>
      <w:r>
        <w:rPr>
          <w:rStyle w:val="21"/>
          <w:rFonts w:ascii="方正仿宋_GBK" w:hAnsi="方正仿宋_GBK"/>
        </w:rPr>
        <w:t>”</w:t>
      </w:r>
      <w:r>
        <w:rPr>
          <w:rStyle w:val="21"/>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（五）使用非财政拨款结余</w:t>
      </w:r>
      <w:r>
        <w:rPr>
          <w:rStyle w:val="20"/>
          <w:rFonts w:hint="eastAsia"/>
          <w:lang w:eastAsia="zh-CN"/>
        </w:rPr>
        <w:t>（含专用结余）</w:t>
      </w:r>
      <w:r>
        <w:rPr>
          <w:rStyle w:val="20"/>
        </w:rPr>
        <w:t>：</w:t>
      </w:r>
      <w:r>
        <w:rPr>
          <w:rStyle w:val="21"/>
        </w:rPr>
        <w:t>指</w:t>
      </w:r>
      <w:r>
        <w:rPr>
          <w:rStyle w:val="21"/>
          <w:rFonts w:hint="eastAsia"/>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（六）年初结转和结余：</w:t>
      </w:r>
      <w:r>
        <w:rPr>
          <w:rStyle w:val="21"/>
        </w:rPr>
        <w:t>指单位上年结转本年使用的基本支出结转、项目支出结转和结余、经营结余。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（七）结余分配：</w:t>
      </w:r>
      <w:r>
        <w:rPr>
          <w:rStyle w:val="21"/>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0"/>
        </w:rPr>
        <w:t>（八）年末结转和结余：</w:t>
      </w:r>
      <w:r>
        <w:rPr>
          <w:rStyle w:val="21"/>
        </w:rPr>
        <w:t>指单位结转下年的基本支出结转、项目支出结转和结余、经营结余。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（九）基本支出：</w:t>
      </w:r>
      <w:r>
        <w:rPr>
          <w:rStyle w:val="21"/>
        </w:rPr>
        <w:t>指为保障机构正常运转、完成日常工作任务而发生的人员经费和公用经费。其中：人员经费指政府收支分类经济科目中的</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；公用经费指政府收支分类经济科目中除</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（十）项目支出：</w:t>
      </w:r>
      <w:r>
        <w:rPr>
          <w:rStyle w:val="21"/>
        </w:rPr>
        <w:t>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（十一）经营支出：</w:t>
      </w:r>
      <w:r>
        <w:rPr>
          <w:rStyle w:val="21"/>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（十二）“三公</w:t>
      </w:r>
      <w:r>
        <w:rPr>
          <w:rStyle w:val="20"/>
          <w:rFonts w:ascii="方正仿宋_GBK" w:hAnsi="方正仿宋_GBK"/>
        </w:rPr>
        <w:t>”</w:t>
      </w:r>
      <w:r>
        <w:rPr>
          <w:rStyle w:val="20"/>
        </w:rPr>
        <w:t>经费：</w:t>
      </w:r>
      <w:r>
        <w:rPr>
          <w:rStyle w:val="21"/>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（十三）机关运行经费：</w:t>
      </w:r>
      <w:r>
        <w:rPr>
          <w:rStyle w:val="21"/>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（十四）工资福利支出（支出经济分类科目类级）：</w:t>
      </w:r>
      <w:r>
        <w:rPr>
          <w:rStyle w:val="21"/>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（十五）商品和服务支出（支出经济分类科目类级）：</w:t>
      </w:r>
      <w:r>
        <w:rPr>
          <w:rStyle w:val="21"/>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0"/>
        </w:rPr>
        <w:t>（十六）对个人和家庭的补助（支出经济分类科目类级）：</w:t>
      </w:r>
      <w:r>
        <w:rPr>
          <w:rStyle w:val="21"/>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（十七）其他资本性支出（支出经济分类科目类级）：</w:t>
      </w:r>
      <w:r>
        <w:rPr>
          <w:rStyle w:val="21"/>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default"/>
        </w:rPr>
        <w:t>决算公开信息反馈和联系方式：</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秀山土家族苗族自治县应急管理综合行政执法支队（本级）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秀山土家族苗族自治县应急管理综合行政执法支队（本级）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
      <w:pPr>
        <w:rPr>
          <w:rFonts w:hint="default"/>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B46D99"/>
    <w:rsid w:val="06F80EE2"/>
    <w:rsid w:val="07001CCA"/>
    <w:rsid w:val="075678DB"/>
    <w:rsid w:val="079D7CC7"/>
    <w:rsid w:val="08051BCA"/>
    <w:rsid w:val="086C12F4"/>
    <w:rsid w:val="08705944"/>
    <w:rsid w:val="08BA052C"/>
    <w:rsid w:val="08DB07BA"/>
    <w:rsid w:val="0943127A"/>
    <w:rsid w:val="0969353F"/>
    <w:rsid w:val="098305D0"/>
    <w:rsid w:val="09B1218B"/>
    <w:rsid w:val="0A3317EA"/>
    <w:rsid w:val="0A5C4B69"/>
    <w:rsid w:val="0A86124A"/>
    <w:rsid w:val="0AB54CC0"/>
    <w:rsid w:val="0B9335CE"/>
    <w:rsid w:val="0BF2311A"/>
    <w:rsid w:val="0C7927C4"/>
    <w:rsid w:val="0C9B098C"/>
    <w:rsid w:val="0D673E11"/>
    <w:rsid w:val="0DDA54E4"/>
    <w:rsid w:val="0DF26CD2"/>
    <w:rsid w:val="0E3A5F83"/>
    <w:rsid w:val="0F836721"/>
    <w:rsid w:val="0FA25D96"/>
    <w:rsid w:val="0FBD3C60"/>
    <w:rsid w:val="107B59E5"/>
    <w:rsid w:val="10EC0126"/>
    <w:rsid w:val="10F70B9A"/>
    <w:rsid w:val="111445C7"/>
    <w:rsid w:val="114278C6"/>
    <w:rsid w:val="1158083A"/>
    <w:rsid w:val="11643A4B"/>
    <w:rsid w:val="11ED0F98"/>
    <w:rsid w:val="11F03528"/>
    <w:rsid w:val="129A13EF"/>
    <w:rsid w:val="12C921C4"/>
    <w:rsid w:val="1368068A"/>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650EE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237EE3"/>
    <w:rsid w:val="2455582D"/>
    <w:rsid w:val="24B92327"/>
    <w:rsid w:val="24C14514"/>
    <w:rsid w:val="2533755C"/>
    <w:rsid w:val="25791755"/>
    <w:rsid w:val="26396DF4"/>
    <w:rsid w:val="26E4266F"/>
    <w:rsid w:val="27167136"/>
    <w:rsid w:val="271B442C"/>
    <w:rsid w:val="27B23302"/>
    <w:rsid w:val="29310A5F"/>
    <w:rsid w:val="29C37A35"/>
    <w:rsid w:val="2A076083"/>
    <w:rsid w:val="2A73162E"/>
    <w:rsid w:val="2B167953"/>
    <w:rsid w:val="2B200583"/>
    <w:rsid w:val="2B4F38CD"/>
    <w:rsid w:val="2B8209DE"/>
    <w:rsid w:val="2B821C91"/>
    <w:rsid w:val="2BF81A22"/>
    <w:rsid w:val="2C636760"/>
    <w:rsid w:val="2C6762A3"/>
    <w:rsid w:val="2C6D0D94"/>
    <w:rsid w:val="2CF875B7"/>
    <w:rsid w:val="2D6B2E50"/>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D53A0"/>
    <w:rsid w:val="352930DB"/>
    <w:rsid w:val="35573069"/>
    <w:rsid w:val="355F6038"/>
    <w:rsid w:val="358C217E"/>
    <w:rsid w:val="36C9128A"/>
    <w:rsid w:val="373E5414"/>
    <w:rsid w:val="37841E99"/>
    <w:rsid w:val="37BF1123"/>
    <w:rsid w:val="383C3F15"/>
    <w:rsid w:val="38BE4696"/>
    <w:rsid w:val="3939115E"/>
    <w:rsid w:val="39AB7AFE"/>
    <w:rsid w:val="39B82A39"/>
    <w:rsid w:val="39C42CA8"/>
    <w:rsid w:val="39DC4FD6"/>
    <w:rsid w:val="39F03D7A"/>
    <w:rsid w:val="39F33306"/>
    <w:rsid w:val="3A1559F9"/>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1C1"/>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4EC2D7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637773"/>
    <w:rsid w:val="4C6A5479"/>
    <w:rsid w:val="4C9316A8"/>
    <w:rsid w:val="4D1F53CA"/>
    <w:rsid w:val="4DAC4ACA"/>
    <w:rsid w:val="4DBE01D2"/>
    <w:rsid w:val="4DFE4B27"/>
    <w:rsid w:val="4E402140"/>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1034DF"/>
    <w:rsid w:val="552256E1"/>
    <w:rsid w:val="554E5773"/>
    <w:rsid w:val="555829E0"/>
    <w:rsid w:val="555A3CBC"/>
    <w:rsid w:val="5582012B"/>
    <w:rsid w:val="558C34A7"/>
    <w:rsid w:val="558E4E05"/>
    <w:rsid w:val="55A93EA0"/>
    <w:rsid w:val="55BE2E85"/>
    <w:rsid w:val="56530F5D"/>
    <w:rsid w:val="567700D3"/>
    <w:rsid w:val="569E5A73"/>
    <w:rsid w:val="56FF7E9E"/>
    <w:rsid w:val="578867FC"/>
    <w:rsid w:val="5842572D"/>
    <w:rsid w:val="5A3B59D6"/>
    <w:rsid w:val="5AD134D8"/>
    <w:rsid w:val="5BF41F67"/>
    <w:rsid w:val="5C263CE4"/>
    <w:rsid w:val="5C5D2777"/>
    <w:rsid w:val="5CBB64C2"/>
    <w:rsid w:val="5CF66BF3"/>
    <w:rsid w:val="5D290C69"/>
    <w:rsid w:val="5DA80C2C"/>
    <w:rsid w:val="5EDB1945"/>
    <w:rsid w:val="5F2D4A41"/>
    <w:rsid w:val="5FAD67A2"/>
    <w:rsid w:val="60C74F6C"/>
    <w:rsid w:val="61015958"/>
    <w:rsid w:val="61025A59"/>
    <w:rsid w:val="613D5BBC"/>
    <w:rsid w:val="61536C39"/>
    <w:rsid w:val="61894431"/>
    <w:rsid w:val="61BF2D4A"/>
    <w:rsid w:val="62944DD7"/>
    <w:rsid w:val="6319381F"/>
    <w:rsid w:val="63C25DC5"/>
    <w:rsid w:val="63C62057"/>
    <w:rsid w:val="64571EF5"/>
    <w:rsid w:val="64FB113D"/>
    <w:rsid w:val="656152C6"/>
    <w:rsid w:val="6587477F"/>
    <w:rsid w:val="658C3A08"/>
    <w:rsid w:val="65C031CA"/>
    <w:rsid w:val="65CE6852"/>
    <w:rsid w:val="65FA7BF6"/>
    <w:rsid w:val="66267C04"/>
    <w:rsid w:val="663F505A"/>
    <w:rsid w:val="66AF5D7C"/>
    <w:rsid w:val="66EE5541"/>
    <w:rsid w:val="67924660"/>
    <w:rsid w:val="68407834"/>
    <w:rsid w:val="6883293E"/>
    <w:rsid w:val="688412AD"/>
    <w:rsid w:val="689E7641"/>
    <w:rsid w:val="68EB1B71"/>
    <w:rsid w:val="696C0310"/>
    <w:rsid w:val="6A6C7940"/>
    <w:rsid w:val="6A7B608B"/>
    <w:rsid w:val="6A9F1565"/>
    <w:rsid w:val="6AAD2300"/>
    <w:rsid w:val="6B474EF5"/>
    <w:rsid w:val="6C0804D7"/>
    <w:rsid w:val="6C0A5AC5"/>
    <w:rsid w:val="6C560CAE"/>
    <w:rsid w:val="6C576495"/>
    <w:rsid w:val="6D903FF5"/>
    <w:rsid w:val="6DA955B8"/>
    <w:rsid w:val="6DE346AB"/>
    <w:rsid w:val="6DE5391A"/>
    <w:rsid w:val="6E712BA5"/>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AF84668"/>
    <w:rsid w:val="7B420052"/>
    <w:rsid w:val="7B5B5B77"/>
    <w:rsid w:val="7BD06A28"/>
    <w:rsid w:val="7C3A7C0B"/>
    <w:rsid w:val="7C5248E4"/>
    <w:rsid w:val="7C566698"/>
    <w:rsid w:val="7C5866A3"/>
    <w:rsid w:val="7D7406BB"/>
    <w:rsid w:val="7D8425D5"/>
    <w:rsid w:val="7DE94331"/>
    <w:rsid w:val="7E751D9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8">
    <w:name w:val="2级"/>
    <w:basedOn w:val="1"/>
    <w:link w:val="20"/>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19">
    <w:name w:val="正文111"/>
    <w:basedOn w:val="1"/>
    <w:link w:val="21"/>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0">
    <w:name w:val="2级 Char"/>
    <w:link w:val="18"/>
    <w:qFormat/>
    <w:uiPriority w:val="0"/>
    <w:rPr>
      <w:rFonts w:ascii="方正楷体_GBK" w:hAnsi="方正楷体_GBK" w:eastAsia="方正楷体_GBK" w:cs="方正楷体_GBK"/>
      <w:bCs/>
      <w:sz w:val="32"/>
      <w:szCs w:val="32"/>
      <w:shd w:val="clear" w:color="auto" w:fill="FFFFFF"/>
    </w:rPr>
  </w:style>
  <w:style w:type="character" w:customStyle="1" w:styleId="21">
    <w:name w:val="正文111 Char"/>
    <w:link w:val="19"/>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6533</Words>
  <Characters>7960</Characters>
  <Lines>186</Lines>
  <Paragraphs>52</Paragraphs>
  <TotalTime>17</TotalTime>
  <ScaleCrop>false</ScaleCrop>
  <LinksUpToDate>false</LinksUpToDate>
  <CharactersWithSpaces>8375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2025-10-13T01:41:43Z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