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left"/>
        <w:textAlignment w:val="auto"/>
        <w:rPr>
          <w:rFonts w:hint="eastAsia" w:ascii="方正小标宋_GBK" w:hAnsi="方正小标宋_GBK" w:eastAsia="方正小标宋_GBK" w:cs="方正小标宋_GBK"/>
          <w:b w:val="0"/>
          <w:bCs w:val="0"/>
          <w:sz w:val="36"/>
          <w:szCs w:val="36"/>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left"/>
        <w:textAlignment w:val="auto"/>
        <w:rPr>
          <w:rFonts w:hint="eastAsia" w:ascii="方正小标宋_GBK" w:hAnsi="方正小标宋_GBK" w:eastAsia="方正小标宋_GBK" w:cs="方正小标宋_GBK"/>
          <w:b w:val="0"/>
          <w:bCs w:val="0"/>
          <w:sz w:val="36"/>
          <w:szCs w:val="36"/>
          <w:lang w:val="en-US" w:eastAsia="zh-CN"/>
        </w:rPr>
      </w:pPr>
      <w:bookmarkStart w:id="0" w:name="_GoBack"/>
      <w:bookmarkEnd w:id="0"/>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秀山土家族苗族自治县突发事件预警信息发布中心</w:t>
      </w:r>
      <w:r>
        <w:rPr>
          <w:rFonts w:hint="default" w:ascii="方正小标宋_GBK" w:hAnsi="方正小标宋_GBK" w:eastAsia="方正小标宋_GBK" w:cs="方正小标宋_GBK"/>
          <w:sz w:val="44"/>
          <w:szCs w:val="44"/>
        </w:rPr>
        <w:t>2024</w:t>
      </w:r>
      <w:r>
        <w:rPr>
          <w:rFonts w:ascii="方正小标宋_GBK" w:hAnsi="方正小标宋_GBK" w:eastAsia="方正小标宋_GBK" w:cs="方正小标宋_GBK"/>
          <w:sz w:val="44"/>
          <w:szCs w:val="44"/>
        </w:rPr>
        <w:t>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Style w:val="11"/>
          <w:rFonts w:hint="eastAsia" w:ascii="方正黑体_GBK" w:hAnsi="方正黑体_GBK" w:eastAsia="方正黑体_GBK" w:cs="方正黑体_GBK"/>
          <w:b w:val="0"/>
          <w:bCs/>
          <w:szCs w:val="32"/>
          <w:shd w:val="clear" w:color="auto" w:fill="FFFFFF"/>
        </w:rPr>
      </w:pPr>
      <w:r>
        <w:rPr>
          <w:rFonts w:hint="eastAsia"/>
        </w:rPr>
        <w:t>一、</w:t>
      </w:r>
      <w:r>
        <w:rPr>
          <w:rFonts w:hint="eastAsia"/>
          <w:lang w:eastAsia="zh-CN"/>
        </w:rPr>
        <w:t>单位</w:t>
      </w:r>
      <w:r>
        <w:rPr>
          <w:rFonts w:hint="eastAsia"/>
        </w:rPr>
        <w:t>基本情况</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eastAsia"/>
        </w:rPr>
        <w:t>（一）职能职责</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1.负责全县自然灾害预警预防的管理、突发事件预警信息发布。</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2.负责自然灾害应急联动预警平台的建设、运行、维护和管理。</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3.负责全县自然灾害共享数据库的建设、维护和管理。</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4.负责全县预警信息发布渠道的建设、维护和管理。</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5.指导全县自然灾害监测网络、预警信息发布网络，以及各乡镇（街道）、涉灾部门防灾应急工作站的建设。</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6.为县委、县政府提供自然灾害应急处置指挥子平台，并提供决策建议和技术支持。</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7.负责气象防灾减灾应急准备和气象灾害敏感单位认证管理。</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8.落实雷电灾害防御属地责任，承担监管范围内建设工程防雷许可的技术服务工作。</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9.承担雷电灾害的调查鉴定和重大活动、重大灾害应急</w:t>
      </w:r>
    </w:p>
    <w:p>
      <w:pPr>
        <w:pStyle w:val="18"/>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Fonts w:hint="eastAsia"/>
          <w:lang w:val="en-US" w:eastAsia="zh-CN"/>
        </w:rPr>
      </w:pPr>
      <w:r>
        <w:rPr>
          <w:rFonts w:hint="eastAsia"/>
          <w:lang w:val="en-US" w:eastAsia="zh-CN"/>
        </w:rPr>
        <w:t>救援现场的防雷技术保障服务。</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10.负责防雷相关法律、法规及政策的普及，组织开展雷电灾害防御科普知识宣传。</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11.推进全县人工影响天气事业发展，负责全县人工影响天气安全管理，负责拟订年度人工影响天气工作计划。</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eastAsia"/>
          <w:lang w:val="en-US" w:eastAsia="zh-CN"/>
        </w:rPr>
        <w:t>12.负责全县人工影响天气作业的组织实施，并对冰雹、</w:t>
      </w:r>
      <w:r>
        <w:rPr>
          <w:rFonts w:hint="eastAsia"/>
          <w:color w:val="auto"/>
          <w:highlight w:val="none"/>
          <w:lang w:val="en-US" w:eastAsia="zh-CN"/>
        </w:rPr>
        <w:t>干旱灾情况</w:t>
      </w:r>
      <w:r>
        <w:rPr>
          <w:rFonts w:hint="eastAsia"/>
          <w:lang w:val="en-US" w:eastAsia="zh-CN"/>
        </w:rPr>
        <w:t>和作业效果进行调查评估。</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ascii="Times New Roman" w:hAnsi="Times New Roman" w:eastAsia="方正仿宋_GBK" w:cs="Times New Roman"/>
          <w:kern w:val="0"/>
          <w:szCs w:val="32"/>
          <w:lang w:val="en-US" w:eastAsia="zh-CN"/>
        </w:rPr>
      </w:pPr>
      <w:r>
        <w:rPr>
          <w:rFonts w:hint="eastAsia"/>
          <w:lang w:val="en-US" w:eastAsia="zh-CN"/>
        </w:rPr>
        <w:t>13.完成县政府和县气象局交办的其它任务。</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（二）机构设置</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设立秀山土家族苗族自治县突发事件预警信息发布中心，为县应急管理局管理的公益一类副科级事业单位，加挂县防雷中心、县人工影响天气中心牌子。</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二、</w:t>
      </w:r>
      <w:r>
        <w:rPr>
          <w:rFonts w:hint="eastAsia"/>
          <w:lang w:eastAsia="zh-CN"/>
        </w:rPr>
        <w:t>单位</w:t>
      </w:r>
      <w:r>
        <w:t>决算</w:t>
      </w:r>
      <w:r>
        <w:rPr>
          <w:rFonts w:hint="eastAsia"/>
          <w:lang w:eastAsia="zh-CN"/>
        </w:rPr>
        <w:t>收支</w:t>
      </w:r>
      <w:r>
        <w:t>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（一）收入支出决算总体情况说明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年度收</w:t>
      </w:r>
      <w:r>
        <w:rPr>
          <w:rFonts w:hint="eastAsia"/>
          <w:lang w:eastAsia="zh-CN"/>
        </w:rPr>
        <w:t>、支</w:t>
      </w:r>
      <w:r>
        <w:t>总计</w:t>
      </w:r>
      <w:r>
        <w:rPr>
          <w:rFonts w:hint="eastAsia"/>
          <w:lang w:eastAsia="zh-CN"/>
        </w:rPr>
        <w:t>均为</w:t>
      </w:r>
      <w:r>
        <w:rPr>
          <w:rFonts w:hint="default"/>
        </w:rPr>
        <w:t>62.84</w:t>
      </w:r>
      <w:r>
        <w:t>万元。</w:t>
      </w:r>
      <w:r>
        <w:rPr>
          <w:rFonts w:hint="default"/>
        </w:rPr>
        <w:t>收、支与2023年度相比，增加16.02万元，增长34.2%</w:t>
      </w:r>
      <w:r>
        <w:t>，主要原因是</w:t>
      </w:r>
      <w:r>
        <w:rPr>
          <w:rFonts w:hint="eastAsia"/>
          <w:lang w:val="en-US" w:eastAsia="zh-CN"/>
        </w:rPr>
        <w:t>2024年社保基数调整、清算2023年度社保缴费、工资调标。</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1</w:t>
      </w:r>
      <w:r>
        <w:t>.收入情况。</w:t>
      </w:r>
      <w:r>
        <w:rPr>
          <w:rFonts w:hint="default"/>
        </w:rPr>
        <w:t>2024</w:t>
      </w:r>
      <w:r>
        <w:t>年度收入合计</w:t>
      </w:r>
      <w:r>
        <w:rPr>
          <w:rFonts w:hint="default"/>
        </w:rPr>
        <w:t>62.84</w:t>
      </w:r>
      <w:r>
        <w:t>万元，</w:t>
      </w:r>
      <w:r>
        <w:rPr>
          <w:rFonts w:hint="default"/>
        </w:rPr>
        <w:t>与2023年度相比，增加16.02万元，增长34.2%</w:t>
      </w:r>
      <w:r>
        <w:t>，主要原因是</w:t>
      </w:r>
      <w:r>
        <w:rPr>
          <w:rFonts w:hint="eastAsia"/>
          <w:lang w:val="en-US" w:eastAsia="zh-CN"/>
        </w:rPr>
        <w:t>2024年社保基数调整、清算2023年度社保缴费、工资调标。</w:t>
      </w:r>
      <w:r>
        <w:t>其中：财政拨款收入</w:t>
      </w:r>
      <w:r>
        <w:rPr>
          <w:rFonts w:hint="default"/>
        </w:rPr>
        <w:t>62.84</w:t>
      </w:r>
      <w:r>
        <w:t>万元，占</w:t>
      </w:r>
      <w:r>
        <w:rPr>
          <w:rFonts w:hint="default"/>
        </w:rPr>
        <w:t>100.0%</w:t>
      </w:r>
      <w:r>
        <w:t>；事业收入</w:t>
      </w:r>
      <w:r>
        <w:rPr>
          <w:rFonts w:hint="default"/>
        </w:rPr>
        <w:t>0.00</w:t>
      </w:r>
      <w:r>
        <w:t>万元，占</w:t>
      </w:r>
      <w:r>
        <w:rPr>
          <w:rFonts w:hint="default"/>
        </w:rPr>
        <w:t>0.0%</w:t>
      </w:r>
      <w:r>
        <w:t>；经营收入</w:t>
      </w:r>
      <w:r>
        <w:rPr>
          <w:rFonts w:hint="default"/>
        </w:rPr>
        <w:t>0.00</w:t>
      </w:r>
      <w:r>
        <w:t>万元，占</w:t>
      </w:r>
      <w:r>
        <w:rPr>
          <w:rFonts w:hint="default"/>
        </w:rPr>
        <w:t>0.0%</w:t>
      </w:r>
      <w:r>
        <w:t>；其他收入</w:t>
      </w:r>
      <w:r>
        <w:rPr>
          <w:rFonts w:hint="default"/>
        </w:rPr>
        <w:t>0.00</w:t>
      </w:r>
      <w:r>
        <w:t>万元，占</w:t>
      </w:r>
      <w:r>
        <w:rPr>
          <w:rFonts w:hint="default"/>
        </w:rPr>
        <w:t>0.0%</w:t>
      </w:r>
      <w:r>
        <w:t>。此外，</w:t>
      </w:r>
      <w:r>
        <w:rPr>
          <w:rFonts w:hint="eastAsia"/>
        </w:rPr>
        <w:t>使用非财政拨款结余（含专用结余）</w:t>
      </w:r>
      <w:r>
        <w:rPr>
          <w:rFonts w:hint="default"/>
        </w:rPr>
        <w:t>0.00</w:t>
      </w:r>
      <w:r>
        <w:t>万元，年初结转和结余</w:t>
      </w:r>
      <w:r>
        <w:rPr>
          <w:rFonts w:hint="default"/>
        </w:rPr>
        <w:t>0.00</w:t>
      </w:r>
      <w:r>
        <w:t>万元。</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2</w:t>
      </w:r>
      <w:r>
        <w:t>.支出情况。</w:t>
      </w:r>
      <w:r>
        <w:rPr>
          <w:rFonts w:hint="default"/>
        </w:rPr>
        <w:t>2024</w:t>
      </w:r>
      <w:r>
        <w:t>年度支出合计</w:t>
      </w:r>
      <w:r>
        <w:rPr>
          <w:rFonts w:hint="default"/>
        </w:rPr>
        <w:t>62.84</w:t>
      </w:r>
      <w:r>
        <w:t>万元，</w:t>
      </w:r>
      <w:r>
        <w:rPr>
          <w:rFonts w:hint="default"/>
        </w:rPr>
        <w:t>与2023年度相比，增加16.02万元，增长34.2%</w:t>
      </w:r>
      <w:r>
        <w:t>，主要原因是</w:t>
      </w:r>
      <w:r>
        <w:rPr>
          <w:rFonts w:hint="eastAsia"/>
          <w:lang w:val="en-US" w:eastAsia="zh-CN"/>
        </w:rPr>
        <w:t>2024年社保基数调整、清算2023年度社保缴费、工资调标,导致该项目支出增加。</w:t>
      </w:r>
      <w:r>
        <w:t>其中：基本支出</w:t>
      </w:r>
      <w:r>
        <w:rPr>
          <w:rFonts w:hint="default"/>
        </w:rPr>
        <w:t>62.84</w:t>
      </w:r>
      <w:r>
        <w:t>万元，占</w:t>
      </w:r>
      <w:r>
        <w:rPr>
          <w:rFonts w:hint="default"/>
        </w:rPr>
        <w:t>100.0%</w:t>
      </w:r>
      <w:r>
        <w:t>；项目支出</w:t>
      </w:r>
      <w:r>
        <w:rPr>
          <w:rFonts w:hint="default"/>
        </w:rPr>
        <w:t>0.00</w:t>
      </w:r>
      <w:r>
        <w:t>万元，占</w:t>
      </w:r>
      <w:r>
        <w:rPr>
          <w:rFonts w:hint="default"/>
        </w:rPr>
        <w:t>0.0%</w:t>
      </w:r>
      <w:r>
        <w:t>；经营支出</w:t>
      </w:r>
      <w:r>
        <w:rPr>
          <w:rFonts w:hint="default"/>
        </w:rPr>
        <w:t>0.00</w:t>
      </w:r>
      <w:r>
        <w:t>万元，占</w:t>
      </w:r>
      <w:r>
        <w:rPr>
          <w:rFonts w:hint="default"/>
        </w:rPr>
        <w:t>0.0%</w:t>
      </w:r>
      <w:r>
        <w:t>。此外，结余分配</w:t>
      </w:r>
      <w:r>
        <w:rPr>
          <w:rFonts w:hint="default"/>
        </w:rPr>
        <w:t>0.00</w:t>
      </w:r>
      <w:r>
        <w:t>万元。</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3</w:t>
      </w:r>
      <w:r>
        <w:t>.结转结余情况。</w:t>
      </w:r>
      <w:r>
        <w:rPr>
          <w:rFonts w:hint="default"/>
        </w:rPr>
        <w:t>2024</w:t>
      </w:r>
      <w:r>
        <w:t>年度年末结转和结余</w:t>
      </w:r>
      <w:r>
        <w:rPr>
          <w:rFonts w:hint="default"/>
        </w:rPr>
        <w:t>0.00</w:t>
      </w:r>
      <w:r>
        <w:t>万元，</w:t>
      </w:r>
      <w:r>
        <w:rPr>
          <w:rFonts w:hint="default"/>
        </w:rPr>
        <w:t>与2023年度相比，无增减</w:t>
      </w:r>
      <w:r>
        <w:t>，主要原因是</w:t>
      </w:r>
      <w:r>
        <w:rPr>
          <w:rFonts w:hint="eastAsia"/>
          <w:lang w:eastAsia="zh-CN"/>
        </w:rPr>
        <w:t>本单位无</w:t>
      </w:r>
      <w:r>
        <w:t>结转结余</w:t>
      </w:r>
      <w:r>
        <w:rPr>
          <w:rFonts w:hint="eastAsia"/>
          <w:lang w:eastAsia="zh-CN"/>
        </w:rPr>
        <w:t>。</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ascii="楷体" w:hAnsi="楷体" w:eastAsia="楷体" w:cs="楷体"/>
          <w:b/>
          <w:bCs/>
          <w:szCs w:val="32"/>
          <w:shd w:val="clear" w:color="auto" w:fill="FFFFFF"/>
        </w:rPr>
      </w:pPr>
      <w:r>
        <w:rPr>
          <w:rFonts w:hint="eastAsia"/>
        </w:rPr>
        <w:t>（二）财政拨款收入支出决算总体情况说明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年度财政拨款收、支总计均为</w:t>
      </w:r>
      <w:r>
        <w:rPr>
          <w:rFonts w:hint="default"/>
        </w:rPr>
        <w:t>62.84</w:t>
      </w:r>
      <w:r>
        <w:t>万元。与</w:t>
      </w:r>
      <w:r>
        <w:rPr>
          <w:rFonts w:hint="default"/>
        </w:rPr>
        <w:t>2023</w:t>
      </w:r>
      <w:r>
        <w:t>年</w:t>
      </w:r>
      <w:r>
        <w:rPr>
          <w:rFonts w:hint="eastAsia"/>
          <w:lang w:eastAsia="zh-CN"/>
        </w:rPr>
        <w:t>度</w:t>
      </w:r>
      <w:r>
        <w:t>相比，</w:t>
      </w:r>
      <w:r>
        <w:rPr>
          <w:rFonts w:hint="default"/>
        </w:rPr>
        <w:t>财政拨款收、支总计各增加16.02万元，增长34.2%</w:t>
      </w:r>
      <w:r>
        <w:t>。主要原因是</w:t>
      </w:r>
      <w:r>
        <w:rPr>
          <w:rFonts w:hint="eastAsia"/>
          <w:lang w:val="en-US" w:eastAsia="zh-CN"/>
        </w:rPr>
        <w:t>2024年社保基数调整、清算2023年度社保缴费、工资调标。</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（三）一般公共预算财政拨款收入支出决算情况说明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pPr>
      <w:r>
        <w:rPr>
          <w:rFonts w:hint="default"/>
        </w:rPr>
        <w:t>1</w:t>
      </w:r>
      <w:r>
        <w:t>.收入情况。</w:t>
      </w:r>
      <w:r>
        <w:rPr>
          <w:rFonts w:hint="default"/>
        </w:rPr>
        <w:t>2024</w:t>
      </w:r>
      <w:r>
        <w:t>年度一般公共预算财政拨款收入</w:t>
      </w:r>
      <w:r>
        <w:rPr>
          <w:rFonts w:hint="default"/>
        </w:rPr>
        <w:t>62.84</w:t>
      </w:r>
      <w:r>
        <w:t>万元，</w:t>
      </w:r>
      <w:r>
        <w:rPr>
          <w:rFonts w:hint="default"/>
        </w:rPr>
        <w:t>与2023年度相比，增加16.02万元，增长34.2%</w:t>
      </w:r>
      <w:r>
        <w:t>。主要原因是</w:t>
      </w:r>
      <w:r>
        <w:rPr>
          <w:rFonts w:hint="eastAsia"/>
          <w:lang w:val="en-US" w:eastAsia="zh-CN"/>
        </w:rPr>
        <w:t>2024年社保基数调整、清算2023年度社保缴费、工资调标，导致收入增加。</w:t>
      </w:r>
      <w:r>
        <w:rPr>
          <w:rFonts w:hint="default"/>
        </w:rPr>
        <w:t>较年初预算数减少7.32万元，下降10.4%</w:t>
      </w:r>
      <w:r>
        <w:t>。主要原因是</w:t>
      </w:r>
      <w:r>
        <w:rPr>
          <w:rFonts w:hint="eastAsia"/>
          <w:lang w:eastAsia="zh-CN"/>
        </w:rPr>
        <w:t>人员变动，调出</w:t>
      </w:r>
      <w:r>
        <w:rPr>
          <w:rFonts w:hint="eastAsia"/>
          <w:lang w:val="en-US" w:eastAsia="zh-CN"/>
        </w:rPr>
        <w:t>1人。</w:t>
      </w:r>
      <w:r>
        <w:t>此外，年初财政拨款结转和结余</w:t>
      </w:r>
      <w:r>
        <w:rPr>
          <w:rFonts w:hint="default"/>
        </w:rPr>
        <w:t>0.00</w:t>
      </w:r>
      <w:r>
        <w:t>万元。</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pPr>
      <w:r>
        <w:rPr>
          <w:rFonts w:hint="default"/>
        </w:rPr>
        <w:t>2</w:t>
      </w:r>
      <w:r>
        <w:t>.支出情况。</w:t>
      </w:r>
      <w:r>
        <w:rPr>
          <w:rFonts w:hint="default"/>
        </w:rPr>
        <w:t>2024</w:t>
      </w:r>
      <w:r>
        <w:t>年度一般公共预算财政拨款支出</w:t>
      </w:r>
      <w:r>
        <w:rPr>
          <w:rFonts w:hint="default"/>
        </w:rPr>
        <w:t>62.84</w:t>
      </w:r>
      <w:r>
        <w:t>万元，</w:t>
      </w:r>
      <w:r>
        <w:rPr>
          <w:rFonts w:hint="default"/>
        </w:rPr>
        <w:t>与2023年度相比，增加16.02万元，增长34.2%</w:t>
      </w:r>
      <w:r>
        <w:t>。主</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p>
    <w:p>
      <w:pPr>
        <w:pStyle w:val="18"/>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Fonts w:hint="eastAsia"/>
          <w:lang w:val="en-US" w:eastAsia="zh-CN"/>
        </w:rPr>
      </w:pPr>
      <w:r>
        <w:t>要原因是</w:t>
      </w:r>
      <w:r>
        <w:rPr>
          <w:rFonts w:hint="eastAsia"/>
          <w:lang w:val="en-US" w:eastAsia="zh-CN"/>
        </w:rPr>
        <w:t>2024年社保基数调整、清算2023年度社保缴费、</w:t>
      </w:r>
    </w:p>
    <w:p>
      <w:pPr>
        <w:pStyle w:val="18"/>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Fonts w:hint="default"/>
          <w:lang w:val="en-US" w:eastAsia="zh-CN"/>
        </w:rPr>
      </w:pPr>
      <w:r>
        <w:rPr>
          <w:rFonts w:hint="eastAsia"/>
          <w:lang w:val="en-US" w:eastAsia="zh-CN"/>
        </w:rPr>
        <w:t>工资调标。较年初预算数减少7.32万元，下降10.4%。主要</w:t>
      </w:r>
    </w:p>
    <w:p>
      <w:pPr>
        <w:pStyle w:val="18"/>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pPr>
      <w:r>
        <w:t>原因是</w:t>
      </w:r>
      <w:r>
        <w:rPr>
          <w:rFonts w:hint="eastAsia"/>
          <w:lang w:eastAsia="zh-CN"/>
        </w:rPr>
        <w:t>人员变动，调出</w:t>
      </w:r>
      <w:r>
        <w:rPr>
          <w:rFonts w:hint="eastAsia"/>
          <w:lang w:val="en-US" w:eastAsia="zh-CN"/>
        </w:rPr>
        <w:t>1人。</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pPr>
      <w:r>
        <w:t>一般公共预算财政拨款支出主要</w:t>
      </w:r>
      <w:r>
        <w:rPr>
          <w:rFonts w:hint="eastAsia"/>
          <w:lang w:eastAsia="zh-CN"/>
        </w:rPr>
        <w:t>用途如下</w:t>
      </w:r>
      <w:r>
        <w:t>：</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eastAsia="zh-CN"/>
        </w:rPr>
        <w:t>（</w:t>
      </w:r>
      <w:r>
        <w:rPr>
          <w:rFonts w:hint="eastAsia"/>
          <w:lang w:val="en-US" w:eastAsia="zh-CN"/>
        </w:rPr>
        <w:t>1</w:t>
      </w:r>
      <w:r>
        <w:rPr>
          <w:rFonts w:hint="eastAsia"/>
          <w:lang w:eastAsia="zh-CN"/>
        </w:rPr>
        <w:t>）</w:t>
      </w:r>
      <w:r>
        <w:t>社会保障</w:t>
      </w:r>
      <w:r>
        <w:rPr>
          <w:rFonts w:hint="eastAsia"/>
          <w:lang w:eastAsia="zh-CN"/>
        </w:rPr>
        <w:t>和</w:t>
      </w:r>
      <w:r>
        <w:t>就业支出</w:t>
      </w:r>
      <w:r>
        <w:rPr>
          <w:rFonts w:hint="default"/>
        </w:rPr>
        <w:t>10.60</w:t>
      </w:r>
      <w:r>
        <w:t>万元，占</w:t>
      </w:r>
      <w:r>
        <w:rPr>
          <w:rFonts w:hint="default"/>
        </w:rPr>
        <w:t>16.9%</w:t>
      </w:r>
      <w:r>
        <w:t>，</w:t>
      </w:r>
      <w:r>
        <w:rPr>
          <w:rFonts w:hint="default"/>
        </w:rPr>
        <w:t>较年初预算数增加3.33万元，增长45.8%</w:t>
      </w:r>
      <w:r>
        <w:t>，主要原因是</w:t>
      </w:r>
      <w:r>
        <w:rPr>
          <w:rFonts w:hint="eastAsia"/>
          <w:lang w:val="en-US" w:eastAsia="zh-CN"/>
        </w:rPr>
        <w:t>2024年社保基数调整、清算2023年度社保缴费，导致该项目支出增加。</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lang w:val="en-US" w:eastAsia="zh-CN"/>
        </w:rPr>
      </w:pPr>
      <w:r>
        <w:t>（</w:t>
      </w:r>
      <w:r>
        <w:rPr>
          <w:rFonts w:hint="eastAsia"/>
          <w:lang w:val="en-US" w:eastAsia="zh-CN"/>
        </w:rPr>
        <w:t>2</w:t>
      </w:r>
      <w:r>
        <w:t>）卫生健康支出</w:t>
      </w:r>
      <w:r>
        <w:rPr>
          <w:rFonts w:hint="default"/>
        </w:rPr>
        <w:t>3.99</w:t>
      </w:r>
      <w:r>
        <w:t>万元，占</w:t>
      </w:r>
      <w:r>
        <w:rPr>
          <w:rFonts w:hint="default"/>
        </w:rPr>
        <w:t>6.4%</w:t>
      </w:r>
      <w:r>
        <w:t>，</w:t>
      </w:r>
      <w:r>
        <w:rPr>
          <w:rFonts w:hint="default"/>
        </w:rPr>
        <w:t>较年初预算数无增减</w:t>
      </w:r>
      <w:r>
        <w:t>，主要原因是</w:t>
      </w:r>
      <w:r>
        <w:rPr>
          <w:rFonts w:hint="eastAsia"/>
          <w:lang w:val="en-US" w:eastAsia="zh-CN"/>
        </w:rPr>
        <w:t>本年医保基数调整，导致该项目支出增加，中途调出1人，导致该项目减少，总的来说无增减变化。</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w:t>
      </w:r>
      <w:r>
        <w:rPr>
          <w:rFonts w:hint="eastAsia"/>
          <w:lang w:val="en-US" w:eastAsia="zh-CN"/>
        </w:rPr>
        <w:t>3</w:t>
      </w:r>
      <w:r>
        <w:t>）住房保障支出</w:t>
      </w:r>
      <w:r>
        <w:rPr>
          <w:rFonts w:hint="default"/>
        </w:rPr>
        <w:t>3.78</w:t>
      </w:r>
      <w:r>
        <w:t>万元，占</w:t>
      </w:r>
      <w:r>
        <w:rPr>
          <w:rFonts w:hint="default"/>
        </w:rPr>
        <w:t>6.0%</w:t>
      </w:r>
      <w:r>
        <w:t>，</w:t>
      </w:r>
      <w:r>
        <w:rPr>
          <w:rFonts w:hint="default"/>
        </w:rPr>
        <w:t>较年初预算数减少0.06万元，下降1.6%</w:t>
      </w:r>
      <w:r>
        <w:t>，主要原因是</w:t>
      </w:r>
      <w:r>
        <w:rPr>
          <w:rFonts w:hint="eastAsia"/>
          <w:lang w:val="en-US" w:eastAsia="zh-CN"/>
        </w:rPr>
        <w:t>本年调出1人。</w:t>
      </w: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lang w:val="en-US" w:eastAsia="zh-CN"/>
        </w:rPr>
      </w:pPr>
      <w:r>
        <w:t>（</w:t>
      </w:r>
      <w:r>
        <w:rPr>
          <w:rFonts w:hint="eastAsia"/>
          <w:lang w:val="en-US" w:eastAsia="zh-CN"/>
        </w:rPr>
        <w:t>4</w:t>
      </w:r>
      <w:r>
        <w:t>）灾害防治及应急管理支出</w:t>
      </w:r>
      <w:r>
        <w:rPr>
          <w:rFonts w:hint="default"/>
        </w:rPr>
        <w:t>44.47</w:t>
      </w:r>
      <w:r>
        <w:t>万元，占</w:t>
      </w:r>
      <w:r>
        <w:rPr>
          <w:rFonts w:hint="default"/>
        </w:rPr>
        <w:t>70.8%</w:t>
      </w:r>
      <w:r>
        <w:t>，</w:t>
      </w:r>
      <w:r>
        <w:rPr>
          <w:rFonts w:hint="default"/>
        </w:rPr>
        <w:t>较年初预算数减少10.58万元，下降19.2%</w:t>
      </w:r>
      <w:r>
        <w:t>，主要原因是</w:t>
      </w:r>
      <w:r>
        <w:rPr>
          <w:rFonts w:hint="eastAsia"/>
          <w:lang w:val="en-US" w:eastAsia="zh-CN"/>
        </w:rPr>
        <w:t>严格落实政府过紧日子要求，严控支出。</w:t>
      </w: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lang w:eastAsia="zh-CN"/>
        </w:rPr>
      </w:pPr>
      <w:r>
        <w:rPr>
          <w:rFonts w:hint="default"/>
        </w:rPr>
        <w:t>3</w:t>
      </w:r>
      <w:r>
        <w:t>.结转结余情况。</w:t>
      </w:r>
      <w:r>
        <w:rPr>
          <w:rFonts w:hint="default"/>
        </w:rPr>
        <w:t>2024</w:t>
      </w:r>
      <w:r>
        <w:t>年度年末一般公共预算财政拨款结转和结余</w:t>
      </w:r>
      <w:r>
        <w:rPr>
          <w:rFonts w:hint="default"/>
        </w:rPr>
        <w:t>0.00</w:t>
      </w:r>
      <w:r>
        <w:t>万元，</w:t>
      </w:r>
      <w:r>
        <w:rPr>
          <w:rFonts w:hint="default"/>
        </w:rPr>
        <w:t>与2023年度相比，无增减</w:t>
      </w:r>
      <w:r>
        <w:t>，主要原因是</w:t>
      </w:r>
      <w:r>
        <w:rPr>
          <w:rFonts w:hint="eastAsia"/>
          <w:lang w:eastAsia="zh-CN"/>
        </w:rPr>
        <w:t>本单位无结转结余情况。</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（四）一般公共预算财政拨款基本支出决算情况说明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default"/>
        </w:rPr>
        <w:t>2024</w:t>
      </w:r>
      <w:r>
        <w:t>年度一般公共财政拨款基本支出</w:t>
      </w:r>
      <w:r>
        <w:rPr>
          <w:rFonts w:hint="default"/>
        </w:rPr>
        <w:t>62.84</w:t>
      </w:r>
      <w:r>
        <w:t>万元。其中：人员经费</w:t>
      </w:r>
      <w:r>
        <w:rPr>
          <w:rFonts w:hint="default"/>
        </w:rPr>
        <w:t>57.82</w:t>
      </w:r>
      <w:r>
        <w:t>万元，</w:t>
      </w:r>
      <w:r>
        <w:rPr>
          <w:rFonts w:hint="default"/>
        </w:rPr>
        <w:t>与2023年度相比，增加13.62万元，增长30.8%</w:t>
      </w:r>
      <w:r>
        <w:t>，主要原因是</w:t>
      </w:r>
      <w:r>
        <w:rPr>
          <w:rFonts w:hint="eastAsia"/>
          <w:lang w:val="en-US" w:eastAsia="zh-CN"/>
        </w:rPr>
        <w:t>2024年社保基数调整、清算2023年度社保缴费，导致该项目支出增加。</w:t>
      </w:r>
      <w:r>
        <w:t>人员经费用途主要包括</w:t>
      </w:r>
      <w:r>
        <w:rPr>
          <w:rFonts w:hint="default"/>
          <w:lang w:val="en-US" w:eastAsia="zh-CN"/>
        </w:rPr>
        <w:t>社会保障和就业支出</w:t>
      </w:r>
      <w:r>
        <w:rPr>
          <w:rFonts w:hint="eastAsia"/>
          <w:lang w:val="en-US" w:eastAsia="zh-CN"/>
        </w:rPr>
        <w:t>、</w:t>
      </w:r>
      <w:r>
        <w:rPr>
          <w:rFonts w:hint="default"/>
          <w:lang w:val="en-US" w:eastAsia="zh-CN"/>
        </w:rPr>
        <w:t>卫生健康支出</w:t>
      </w:r>
      <w:r>
        <w:rPr>
          <w:rFonts w:hint="eastAsia"/>
          <w:lang w:val="en-US" w:eastAsia="zh-CN"/>
        </w:rPr>
        <w:t>、</w:t>
      </w:r>
      <w:r>
        <w:rPr>
          <w:rFonts w:hint="default"/>
          <w:lang w:val="en-US" w:eastAsia="zh-CN"/>
        </w:rPr>
        <w:t>住房保障支出</w:t>
      </w:r>
      <w:r>
        <w:rPr>
          <w:rFonts w:hint="eastAsia"/>
          <w:lang w:val="en-US" w:eastAsia="zh-CN"/>
        </w:rPr>
        <w:t>等。</w:t>
      </w:r>
      <w:r>
        <w:t>公用经费</w:t>
      </w:r>
      <w:r>
        <w:rPr>
          <w:rFonts w:hint="default"/>
        </w:rPr>
        <w:t>5.01</w:t>
      </w:r>
      <w:r>
        <w:t>万元，</w:t>
      </w:r>
      <w:r>
        <w:rPr>
          <w:rFonts w:hint="default"/>
        </w:rPr>
        <w:t>与2023年度相比，增加2.39万元，增长91.2%</w:t>
      </w:r>
      <w:r>
        <w:t>，主要原因是</w:t>
      </w:r>
      <w:r>
        <w:rPr>
          <w:rFonts w:hint="eastAsia"/>
          <w:lang w:val="en-US" w:eastAsia="zh-CN"/>
        </w:rPr>
        <w:t>2024年电费增加，导致该项目支出增加。</w:t>
      </w:r>
      <w:r>
        <w:t>公用经费用途主要包括</w:t>
      </w:r>
      <w:r>
        <w:rPr>
          <w:rFonts w:hint="eastAsia"/>
          <w:lang w:val="en-US" w:eastAsia="zh-CN"/>
        </w:rPr>
        <w:t>办公费、电费、邮电费、差旅费、维护费等。</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ascii="楷体" w:hAnsi="楷体" w:eastAsia="楷体" w:cs="楷体"/>
          <w:b/>
          <w:bCs/>
          <w:szCs w:val="32"/>
          <w:shd w:val="clear" w:color="auto" w:fill="FFFFFF"/>
        </w:rPr>
      </w:pPr>
      <w:r>
        <w:rPr>
          <w:rFonts w:hint="eastAsia"/>
        </w:rPr>
        <w:t>（五）政府性基金预算收支决算情况说明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年度政府性基金预算财政拨款年初结转结余</w:t>
      </w:r>
      <w:r>
        <w:rPr>
          <w:rFonts w:hint="default"/>
        </w:rPr>
        <w:t>0.00</w:t>
      </w:r>
      <w:r>
        <w:t>万元，年末结转结余</w:t>
      </w:r>
      <w:r>
        <w:rPr>
          <w:rFonts w:hint="default"/>
        </w:rPr>
        <w:t>0.00</w:t>
      </w:r>
      <w:r>
        <w:t>万元。本年收入</w:t>
      </w:r>
      <w:r>
        <w:rPr>
          <w:rFonts w:hint="default"/>
        </w:rPr>
        <w:t>0.00</w:t>
      </w:r>
      <w:r>
        <w:t>万元，</w:t>
      </w:r>
      <w:r>
        <w:rPr>
          <w:rFonts w:hint="default"/>
        </w:rPr>
        <w:t>与2023年度相比，无增减</w:t>
      </w:r>
      <w:r>
        <w:t>，主要原因是本</w:t>
      </w:r>
      <w:r>
        <w:rPr>
          <w:rFonts w:hint="eastAsia"/>
          <w:lang w:eastAsia="zh-CN"/>
        </w:rPr>
        <w:t>单位</w:t>
      </w:r>
      <w:r>
        <w:rPr>
          <w:rFonts w:hint="default"/>
        </w:rPr>
        <w:t>2024</w:t>
      </w:r>
      <w:r>
        <w:t>年度无政府性基金预算财政拨款收支。本年支出</w:t>
      </w:r>
      <w:r>
        <w:rPr>
          <w:rFonts w:hint="default"/>
        </w:rPr>
        <w:t>0.00</w:t>
      </w:r>
      <w:r>
        <w:t>万元，</w:t>
      </w:r>
      <w:r>
        <w:rPr>
          <w:rFonts w:hint="default"/>
        </w:rPr>
        <w:t>与2023年度相比，无增减</w:t>
      </w:r>
      <w:r>
        <w:t>，主要原因是本</w:t>
      </w:r>
      <w:r>
        <w:rPr>
          <w:rFonts w:hint="eastAsia"/>
          <w:lang w:eastAsia="zh-CN"/>
        </w:rPr>
        <w:t>单位</w:t>
      </w:r>
      <w:r>
        <w:rPr>
          <w:rFonts w:hint="default"/>
        </w:rPr>
        <w:t>2024</w:t>
      </w:r>
      <w:r>
        <w:t>年度无政府性基金预算财政拨款收支。</w:t>
      </w:r>
    </w:p>
    <w:p>
      <w:pPr>
        <w:pStyle w:val="20"/>
        <w:keepNext w:val="0"/>
        <w:keepLines w:val="0"/>
        <w:pageBreakBefore w:val="0"/>
        <w:shd w:val="clear" w:color="auto" w:fill="FFFFFF"/>
        <w:kinsoku/>
        <w:wordWrap/>
        <w:overflowPunct/>
        <w:topLinePunct w:val="0"/>
        <w:autoSpaceDE/>
        <w:autoSpaceDN/>
        <w:bidi w:val="0"/>
        <w:adjustRightInd/>
        <w:spacing w:line="560" w:lineRule="exact"/>
        <w:jc w:val="both"/>
        <w:textAlignment w:val="auto"/>
        <w:outlineLvl w:val="9"/>
        <w:rPr>
          <w:rFonts w:hint="eastAsia"/>
        </w:rPr>
      </w:pPr>
      <w:r>
        <w:rPr>
          <w:rFonts w:hint="eastAsia"/>
        </w:rPr>
        <w:t>（六）国有资本经营预算财政拨款支出决算情况说明</w:t>
      </w:r>
    </w:p>
    <w:p>
      <w:pPr>
        <w:pStyle w:val="19"/>
        <w:keepNext w:val="0"/>
        <w:keepLines w:val="0"/>
        <w:pageBreakBefore w:val="0"/>
        <w:widowControl/>
        <w:kinsoku/>
        <w:wordWrap/>
        <w:overflowPunct/>
        <w:topLinePunct w:val="0"/>
        <w:autoSpaceDE/>
        <w:autoSpaceDN/>
        <w:bidi w:val="0"/>
        <w:adjustRightInd/>
        <w:snapToGrid/>
        <w:spacing w:line="560" w:lineRule="exact"/>
        <w:ind w:left="638" w:leftChars="266" w:firstLine="0" w:firstLineChars="0"/>
        <w:jc w:val="both"/>
        <w:textAlignment w:val="auto"/>
        <w:outlineLvl w:val="9"/>
        <w:rPr>
          <w:rFonts w:hint="default"/>
        </w:rPr>
      </w:pPr>
      <w:r>
        <w:rPr>
          <w:rStyle w:val="22"/>
          <w:rFonts w:hint="eastAsia"/>
          <w:bCs/>
        </w:rPr>
        <w:t>本单位2024年度无国有资本经营预算财政拨款支出。</w:t>
      </w:r>
      <w:r>
        <w:t>三、</w:t>
      </w:r>
      <w:r>
        <w:rPr>
          <w:rFonts w:hint="eastAsia"/>
          <w:lang w:eastAsia="zh-CN"/>
        </w:rPr>
        <w:t>财政拨款</w:t>
      </w:r>
      <w:r>
        <w:t>“三公”经费情况说明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（一）“三公”经费支出总体情况说明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年度“三公”经费支出共计</w:t>
      </w:r>
      <w:r>
        <w:rPr>
          <w:rFonts w:hint="default"/>
        </w:rPr>
        <w:t>0.00</w:t>
      </w:r>
      <w:r>
        <w:t>万元，</w:t>
      </w:r>
      <w:r>
        <w:rPr>
          <w:rFonts w:hint="default"/>
        </w:rPr>
        <w:t>较年初预算数无增减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r>
        <w:rPr>
          <w:rFonts w:hint="default"/>
        </w:rPr>
        <w:t>较上年支出数无增减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p>
    <w:p>
      <w:pPr>
        <w:pStyle w:val="20"/>
        <w:keepNext w:val="0"/>
        <w:keepLines w:val="0"/>
        <w:pageBreakBefore w:val="0"/>
        <w:numPr>
          <w:ilvl w:val="0"/>
          <w:numId w:val="1"/>
        </w:numPr>
        <w:kinsoku/>
        <w:wordWrap/>
        <w:overflowPunct/>
        <w:topLinePunct w:val="0"/>
        <w:autoSpaceDE/>
        <w:autoSpaceDN/>
        <w:bidi w:val="0"/>
        <w:adjustRightInd/>
        <w:spacing w:line="560" w:lineRule="exact"/>
        <w:jc w:val="both"/>
        <w:textAlignment w:val="auto"/>
        <w:outlineLvl w:val="9"/>
        <w:rPr>
          <w:rFonts w:hint="eastAsia"/>
        </w:rPr>
      </w:pPr>
      <w:r>
        <w:rPr>
          <w:rFonts w:hint="eastAsia"/>
        </w:rPr>
        <w:t>“三公”经费分项支出情况</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rPr>
      </w:pPr>
      <w:r>
        <w:rPr>
          <w:rFonts w:hint="default"/>
        </w:rPr>
        <w:t>2024</w:t>
      </w:r>
      <w:r>
        <w:t>年度本</w:t>
      </w:r>
      <w:r>
        <w:rPr>
          <w:rFonts w:hint="eastAsia"/>
          <w:lang w:eastAsia="zh-CN"/>
        </w:rPr>
        <w:t>单位</w:t>
      </w:r>
      <w:r>
        <w:t>因公出国（境）费用</w:t>
      </w:r>
      <w:r>
        <w:rPr>
          <w:rFonts w:hint="default"/>
        </w:rPr>
        <w:t>0.00</w:t>
      </w:r>
      <w:r>
        <w:t>万元，费用</w:t>
      </w:r>
    </w:p>
    <w:p>
      <w:pPr>
        <w:pStyle w:val="18"/>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Fonts w:hint="eastAsia"/>
          <w:lang w:val="en-US" w:eastAsia="zh-CN"/>
        </w:rPr>
      </w:pPr>
      <w:r>
        <w:t>支出</w:t>
      </w:r>
      <w:r>
        <w:rPr>
          <w:rFonts w:hint="default"/>
        </w:rPr>
        <w:t>较年初预算数无增减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p>
    <w:p>
      <w:pPr>
        <w:pStyle w:val="18"/>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Fonts w:hint="default"/>
          <w:lang w:val="en-US" w:eastAsia="zh-CN"/>
        </w:rPr>
      </w:pPr>
      <w:r>
        <w:rPr>
          <w:rFonts w:hint="default"/>
        </w:rPr>
        <w:t>较上年支出数无增减</w:t>
      </w:r>
      <w:r>
        <w:t>，主要原因是</w:t>
      </w:r>
      <w:r>
        <w:rPr>
          <w:rFonts w:hint="eastAsia"/>
          <w:lang w:val="en-US" w:eastAsia="zh-CN"/>
        </w:rPr>
        <w:t>本单位是秀山县应急管理</w:t>
      </w:r>
    </w:p>
    <w:p>
      <w:pPr>
        <w:pStyle w:val="18"/>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rPr>
          <w:rFonts w:hint="eastAsia"/>
          <w:lang w:val="en-US" w:eastAsia="zh-CN"/>
        </w:rPr>
        <w:t>局下属二级单位，相关</w:t>
      </w:r>
      <w:r>
        <w:rPr>
          <w:rFonts w:hint="default"/>
          <w:lang w:val="en-US" w:eastAsia="zh-CN"/>
        </w:rPr>
        <w:t>支出</w:t>
      </w:r>
      <w:r>
        <w:rPr>
          <w:rFonts w:hint="eastAsia"/>
          <w:lang w:val="en-US" w:eastAsia="zh-CN"/>
        </w:rPr>
        <w:t>由秀山县应急管理局支出。</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公务</w:t>
      </w:r>
      <w:r>
        <w:rPr>
          <w:rFonts w:hint="eastAsia"/>
          <w:lang w:eastAsia="zh-CN"/>
        </w:rPr>
        <w:t>用</w:t>
      </w:r>
      <w:r>
        <w:t>车购置费</w:t>
      </w:r>
      <w:r>
        <w:rPr>
          <w:rFonts w:hint="default"/>
        </w:rPr>
        <w:t>0.00</w:t>
      </w:r>
      <w:r>
        <w:t>万元，费用支出</w:t>
      </w:r>
      <w:r>
        <w:rPr>
          <w:rFonts w:hint="default"/>
        </w:rPr>
        <w:t>较年初预算数无增减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r>
        <w:rPr>
          <w:rFonts w:hint="default"/>
        </w:rPr>
        <w:t>较上年支出数无增减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t>公务</w:t>
      </w:r>
      <w:r>
        <w:rPr>
          <w:rFonts w:hint="eastAsia"/>
          <w:lang w:eastAsia="zh-CN"/>
        </w:rPr>
        <w:t>用</w:t>
      </w:r>
      <w:r>
        <w:t>车运行维护费</w:t>
      </w:r>
      <w:r>
        <w:rPr>
          <w:rFonts w:hint="default"/>
        </w:rPr>
        <w:t>0.00</w:t>
      </w:r>
      <w:r>
        <w:t>万元，费用支出</w:t>
      </w:r>
      <w:r>
        <w:rPr>
          <w:rFonts w:hint="default"/>
        </w:rPr>
        <w:t>较年初预算数无增减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r>
        <w:rPr>
          <w:rFonts w:hint="default"/>
        </w:rPr>
        <w:t>较上年支出数无增减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p>
    <w:p>
      <w:pPr>
        <w:pStyle w:val="18"/>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t>公务接待费</w:t>
      </w:r>
      <w:r>
        <w:rPr>
          <w:rFonts w:hint="default"/>
        </w:rPr>
        <w:t>0.00</w:t>
      </w:r>
      <w:r>
        <w:t>万元，费用支出</w:t>
      </w:r>
      <w:r>
        <w:rPr>
          <w:rFonts w:hint="default"/>
        </w:rPr>
        <w:t>较年初预算数无增减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r>
        <w:rPr>
          <w:rFonts w:hint="default"/>
        </w:rPr>
        <w:t>较上年支出数无增减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（三）“三公”经费实物量情况</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pPr>
      <w:r>
        <w:rPr>
          <w:rFonts w:hint="default"/>
        </w:rPr>
        <w:t>2024</w:t>
      </w:r>
      <w:r>
        <w:t>年度本</w:t>
      </w:r>
      <w:r>
        <w:rPr>
          <w:rFonts w:hint="eastAsia"/>
          <w:lang w:eastAsia="zh-CN"/>
        </w:rPr>
        <w:t>单位</w:t>
      </w:r>
      <w:r>
        <w:t>因公出国（境）共计</w:t>
      </w:r>
      <w:r>
        <w:rPr>
          <w:rFonts w:hint="default"/>
        </w:rPr>
        <w:t>0</w:t>
      </w:r>
      <w:r>
        <w:t>个团组，</w:t>
      </w:r>
      <w:r>
        <w:rPr>
          <w:rFonts w:hint="default"/>
        </w:rPr>
        <w:t>0</w:t>
      </w:r>
      <w:r>
        <w:t>人；公务用车购置</w:t>
      </w:r>
      <w:r>
        <w:rPr>
          <w:rFonts w:hint="default"/>
        </w:rPr>
        <w:t>0</w:t>
      </w:r>
      <w:r>
        <w:t>辆，公务车保有量为</w:t>
      </w:r>
      <w:r>
        <w:rPr>
          <w:rFonts w:hint="default"/>
        </w:rPr>
        <w:t>0</w:t>
      </w:r>
      <w:r>
        <w:t>辆；国内公务接待</w:t>
      </w:r>
      <w:r>
        <w:rPr>
          <w:rFonts w:hint="default"/>
        </w:rPr>
        <w:t>0</w:t>
      </w:r>
      <w:r>
        <w:t>批次</w:t>
      </w:r>
      <w:r>
        <w:rPr>
          <w:rFonts w:hint="default"/>
        </w:rPr>
        <w:t>0</w:t>
      </w:r>
      <w:r>
        <w:t>人，其中：国内外事接待</w:t>
      </w:r>
      <w:r>
        <w:rPr>
          <w:rFonts w:hint="default"/>
        </w:rPr>
        <w:t>0</w:t>
      </w:r>
      <w:r>
        <w:t>批次，</w:t>
      </w:r>
      <w:r>
        <w:rPr>
          <w:rFonts w:hint="default"/>
        </w:rPr>
        <w:t>0</w:t>
      </w:r>
      <w:r>
        <w:t>人；国（境）外</w:t>
      </w:r>
    </w:p>
    <w:p>
      <w:pPr>
        <w:pStyle w:val="18"/>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pPr>
      <w:r>
        <w:t>公务接待</w:t>
      </w:r>
      <w:r>
        <w:rPr>
          <w:rFonts w:hint="default"/>
        </w:rPr>
        <w:t>0</w:t>
      </w:r>
      <w:r>
        <w:t>批次，</w:t>
      </w:r>
      <w:r>
        <w:rPr>
          <w:rFonts w:hint="default"/>
        </w:rPr>
        <w:t>0</w:t>
      </w:r>
      <w:r>
        <w:t>人。</w:t>
      </w:r>
      <w:r>
        <w:rPr>
          <w:rFonts w:hint="default"/>
        </w:rPr>
        <w:t>2024</w:t>
      </w:r>
      <w:r>
        <w:t>年本</w:t>
      </w:r>
      <w:r>
        <w:rPr>
          <w:rFonts w:hint="eastAsia" w:ascii="方正仿宋_GBK" w:hAnsi="方正仿宋_GBK" w:eastAsia="方正仿宋_GBK" w:cs="方正仿宋_GBK"/>
          <w:lang w:eastAsia="zh-CN"/>
        </w:rPr>
        <w:t>单位</w:t>
      </w:r>
      <w:r>
        <w:t>人均接待费</w:t>
      </w:r>
      <w:r>
        <w:rPr>
          <w:rFonts w:hint="default"/>
        </w:rPr>
        <w:t>0</w:t>
      </w:r>
      <w:r>
        <w:rPr>
          <w:rFonts w:hint="eastAsia"/>
          <w:lang w:val="en-US" w:eastAsia="zh-CN"/>
        </w:rPr>
        <w:t>.00</w:t>
      </w:r>
      <w:r>
        <w:t>元，</w:t>
      </w:r>
    </w:p>
    <w:p>
      <w:pPr>
        <w:pStyle w:val="18"/>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Style w:val="11"/>
          <w:rFonts w:ascii="黑体" w:hAnsi="黑体" w:eastAsia="黑体" w:cs="黑体"/>
          <w:sz w:val="32"/>
          <w:szCs w:val="32"/>
          <w:shd w:val="clear" w:color="auto" w:fill="FFFFFF"/>
        </w:rPr>
      </w:pPr>
      <w:r>
        <w:t>车均购置费</w:t>
      </w:r>
      <w:r>
        <w:rPr>
          <w:rFonts w:hint="default"/>
        </w:rPr>
        <w:t>0</w:t>
      </w:r>
      <w:r>
        <w:rPr>
          <w:rFonts w:hint="eastAsia"/>
          <w:lang w:val="en-US" w:eastAsia="zh-CN"/>
        </w:rPr>
        <w:t>.00</w:t>
      </w:r>
      <w:r>
        <w:t>万元，车均维护费</w:t>
      </w:r>
      <w:r>
        <w:rPr>
          <w:rFonts w:hint="default"/>
        </w:rPr>
        <w:t>0</w:t>
      </w:r>
      <w:r>
        <w:rPr>
          <w:rFonts w:hint="eastAsia"/>
          <w:lang w:val="en-US" w:eastAsia="zh-CN"/>
        </w:rPr>
        <w:t>.00</w:t>
      </w:r>
      <w:r>
        <w:t>万元。</w:t>
      </w:r>
    </w:p>
    <w:p>
      <w:pPr>
        <w:pStyle w:val="19"/>
        <w:keepNext w:val="0"/>
        <w:keepLines w:val="0"/>
        <w:pageBreakBefore w:val="0"/>
        <w:numPr>
          <w:ilvl w:val="0"/>
          <w:numId w:val="2"/>
        </w:numPr>
        <w:kinsoku/>
        <w:wordWrap/>
        <w:overflowPunct/>
        <w:topLinePunct w:val="0"/>
        <w:autoSpaceDE/>
        <w:autoSpaceDN/>
        <w:bidi w:val="0"/>
        <w:adjustRightInd/>
        <w:spacing w:line="560" w:lineRule="exact"/>
        <w:jc w:val="both"/>
        <w:textAlignment w:val="auto"/>
        <w:outlineLvl w:val="9"/>
        <w:rPr>
          <w:rFonts w:hint="default"/>
        </w:rPr>
      </w:pPr>
      <w:r>
        <w:t>其他需要说明的事项</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（一）财政拨款会议费、培训费和差旅费情况说明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t>本年度会议费支出</w:t>
      </w:r>
      <w:r>
        <w:rPr>
          <w:rFonts w:hint="default"/>
        </w:rPr>
        <w:t>0.00</w:t>
      </w:r>
      <w:r>
        <w:t>万元，</w:t>
      </w:r>
      <w:r>
        <w:rPr>
          <w:rFonts w:hint="default"/>
        </w:rPr>
        <w:t>与2023年度相比，无增减</w:t>
      </w:r>
      <w:r>
        <w:t>，主要原因是</w:t>
      </w:r>
      <w:r>
        <w:rPr>
          <w:rFonts w:hint="eastAsia"/>
          <w:lang w:val="en-US" w:eastAsia="zh-CN"/>
        </w:rPr>
        <w:t>本单位是秀山县应急管理局下属二级单位，相关</w:t>
      </w:r>
      <w:r>
        <w:rPr>
          <w:rFonts w:hint="default"/>
          <w:lang w:val="en-US" w:eastAsia="zh-CN"/>
        </w:rPr>
        <w:t>支出</w:t>
      </w:r>
      <w:r>
        <w:rPr>
          <w:rFonts w:hint="eastAsia"/>
          <w:lang w:val="en-US" w:eastAsia="zh-CN"/>
        </w:rPr>
        <w:t>由秀山县应急管理局支出。</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t>本年度培训费支出</w:t>
      </w:r>
      <w:r>
        <w:rPr>
          <w:rFonts w:hint="default"/>
        </w:rPr>
        <w:t>0.14</w:t>
      </w:r>
      <w:r>
        <w:t>万元，</w:t>
      </w:r>
      <w:r>
        <w:rPr>
          <w:rFonts w:hint="default"/>
        </w:rPr>
        <w:t>与2023年度相比，减少0.03万元，下降17.7%</w:t>
      </w:r>
      <w:r>
        <w:t>，主要原因是</w:t>
      </w:r>
      <w:r>
        <w:rPr>
          <w:rFonts w:hint="eastAsia"/>
          <w:lang w:val="en-US" w:eastAsia="zh-CN"/>
        </w:rPr>
        <w:t>严格落实政府过紧日子要求，严控支出。</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t>本年度差旅费支出</w:t>
      </w:r>
      <w:r>
        <w:rPr>
          <w:rFonts w:hint="default"/>
        </w:rPr>
        <w:t>0.00</w:t>
      </w:r>
      <w:r>
        <w:t>万元，</w:t>
      </w:r>
      <w:r>
        <w:rPr>
          <w:rFonts w:hint="default"/>
        </w:rPr>
        <w:t>与2023年度相比，减少0.54万元，下降100.0%</w:t>
      </w:r>
      <w:r>
        <w:t>，主要原因是</w:t>
      </w:r>
      <w:r>
        <w:rPr>
          <w:rFonts w:hint="eastAsia"/>
          <w:lang w:val="en-US" w:eastAsia="zh-CN"/>
        </w:rPr>
        <w:t>严格落实政府过紧日子要求，严控支出。</w:t>
      </w:r>
    </w:p>
    <w:p>
      <w:pPr>
        <w:pStyle w:val="20"/>
        <w:keepNext w:val="0"/>
        <w:keepLines w:val="0"/>
        <w:pageBreakBefore w:val="0"/>
        <w:numPr>
          <w:ilvl w:val="0"/>
          <w:numId w:val="3"/>
        </w:numPr>
        <w:kinsoku/>
        <w:wordWrap/>
        <w:overflowPunct/>
        <w:topLinePunct w:val="0"/>
        <w:autoSpaceDE/>
        <w:autoSpaceDN/>
        <w:bidi w:val="0"/>
        <w:adjustRightInd/>
        <w:spacing w:line="560" w:lineRule="exact"/>
        <w:jc w:val="both"/>
        <w:textAlignment w:val="auto"/>
        <w:outlineLvl w:val="9"/>
        <w:rPr>
          <w:rFonts w:hint="eastAsia"/>
        </w:rPr>
      </w:pPr>
      <w:r>
        <w:rPr>
          <w:rFonts w:hint="eastAsia"/>
        </w:rPr>
        <w:t>机关运行经费情况说明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lang w:val="en-US" w:eastAsia="zh-CN"/>
        </w:rPr>
        <w:t>按照部门决算列报口径，我单位不在机关运行经费统计范围之内。</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（三）国有资产占用情况说明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方正仿宋_GBK" w:hAnsi="方正仿宋_GBK" w:eastAsia="方正仿宋_GBK" w:cs="方正仿宋_GBK"/>
          <w:color w:val="FF0000"/>
          <w:szCs w:val="32"/>
        </w:rPr>
      </w:pPr>
      <w:r>
        <w:rPr>
          <w:rFonts w:hint="default"/>
          <w:lang w:val="en-US" w:eastAsia="zh-CN"/>
        </w:rPr>
        <w:t>因</w:t>
      </w:r>
      <w:r>
        <w:rPr>
          <w:rFonts w:hint="eastAsia"/>
          <w:lang w:val="en-US" w:eastAsia="zh-CN"/>
        </w:rPr>
        <w:t>本单位是秀山县应急管理局下属二级单位，</w:t>
      </w:r>
      <w:r>
        <w:rPr>
          <w:rFonts w:hint="default"/>
          <w:lang w:val="en-US" w:eastAsia="zh-CN"/>
        </w:rPr>
        <w:t>我单位资产未纳入部门决算报表</w:t>
      </w:r>
      <w:r>
        <w:rPr>
          <w:rFonts w:hint="eastAsia"/>
          <w:lang w:val="en-US" w:eastAsia="zh-CN"/>
        </w:rPr>
        <w:t>。</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（四）政府采购支出情况说明</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2024年度我单位未发生政府采购事项，无相关经费支出。</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t>五、</w:t>
      </w:r>
      <w:r>
        <w:rPr>
          <w:rFonts w:hint="eastAsia"/>
          <w:lang w:eastAsia="zh-CN"/>
        </w:rPr>
        <w:t>预算</w:t>
      </w:r>
      <w:r>
        <w:rPr>
          <w:rFonts w:hint="eastAsia"/>
          <w:lang w:val="en-US" w:eastAsia="zh-CN"/>
        </w:rPr>
        <w:t>绩效管理情况说明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（一）单位自评情况</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我单位是秀山县应急管理局下属二级单位，无项目支出，故未开展项目绩效自评。</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（二）单位绩效评价情况</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ascii="Times New Roman" w:hAnsi="Times New Roman" w:eastAsia="方正仿宋_GBK"/>
          <w:bCs/>
          <w:szCs w:val="32"/>
          <w:lang w:bidi="ar"/>
        </w:rPr>
      </w:pPr>
      <w:r>
        <w:rPr>
          <w:rFonts w:hint="eastAsia"/>
          <w:lang w:val="en-US" w:eastAsia="zh-CN"/>
        </w:rPr>
        <w:t>我单位未组织开展绩效评价</w:t>
      </w:r>
      <w:r>
        <w:rPr>
          <w:rFonts w:hint="eastAsia"/>
        </w:rPr>
        <w:t>。</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（三）财政绩效评价情况</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eastAsia="zh-CN"/>
        </w:rPr>
        <w:t>县</w:t>
      </w:r>
      <w:r>
        <w:rPr>
          <w:rFonts w:hint="eastAsia"/>
        </w:rPr>
        <w:t>财政局未委托第三方对我单位开展绩效评价。</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eastAsia="zh-CN"/>
        </w:rPr>
      </w:pPr>
      <w:r>
        <w:rPr>
          <w:rFonts w:hint="eastAsia"/>
          <w:lang w:eastAsia="zh-CN"/>
        </w:rPr>
        <w:t>六</w:t>
      </w:r>
      <w:r>
        <w:t>、专业名词解释</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（一）财政拨款收入：</w:t>
      </w:r>
      <w:r>
        <w:rPr>
          <w:rStyle w:val="22"/>
        </w:rPr>
        <w:t>指本年度从本级财政部门取得的财政拨款。</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（二）事业收入：</w:t>
      </w:r>
      <w:r>
        <w:rPr>
          <w:rStyle w:val="22"/>
        </w:rPr>
        <w:t>指事业单位开展专业业务活动及其辅助活动取得的</w:t>
      </w:r>
      <w:r>
        <w:rPr>
          <w:rStyle w:val="22"/>
          <w:rFonts w:hint="eastAsia"/>
          <w:lang w:eastAsia="zh-CN"/>
        </w:rPr>
        <w:t>收入</w:t>
      </w:r>
      <w:r>
        <w:rPr>
          <w:rStyle w:val="22"/>
        </w:rPr>
        <w:t>。</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（三）经营收入：</w:t>
      </w:r>
      <w:r>
        <w:rPr>
          <w:rStyle w:val="22"/>
        </w:rPr>
        <w:t>指事业单位在专业业务活动及其辅助活动之外开展非独立核算经营活动取得的</w:t>
      </w:r>
      <w:r>
        <w:rPr>
          <w:rStyle w:val="22"/>
          <w:rFonts w:hint="eastAsia"/>
          <w:lang w:eastAsia="zh-CN"/>
        </w:rPr>
        <w:t>收入</w:t>
      </w:r>
      <w:r>
        <w:rPr>
          <w:rStyle w:val="22"/>
        </w:rPr>
        <w:t>。</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（四）其他收入：</w:t>
      </w:r>
      <w:r>
        <w:rPr>
          <w:rStyle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（五）使用非财政拨款结余</w:t>
      </w:r>
      <w:r>
        <w:rPr>
          <w:rStyle w:val="21"/>
          <w:rFonts w:hint="eastAsia"/>
          <w:lang w:eastAsia="zh-CN"/>
        </w:rPr>
        <w:t>（含专用结余）</w:t>
      </w:r>
      <w:r>
        <w:rPr>
          <w:rStyle w:val="21"/>
        </w:rPr>
        <w:t>：</w:t>
      </w:r>
      <w:r>
        <w:rPr>
          <w:rStyle w:val="22"/>
        </w:rPr>
        <w:t>指</w:t>
      </w:r>
      <w:r>
        <w:rPr>
          <w:rStyle w:val="22"/>
          <w:rFonts w:hint="eastAsia"/>
          <w:lang w:eastAsia="zh-CN"/>
        </w:rPr>
        <w:t>事业单位按照预算管理要求使用非财政拨款结余弥补收支差额的金额，以及使用专用结余安排支出的金额。</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（六）年初结转和结余：</w:t>
      </w:r>
      <w:r>
        <w:rPr>
          <w:rStyle w:val="22"/>
        </w:rPr>
        <w:t>指单位上年结转本年使用的基本支出结转、项目支出结转和结余、经营结余。</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（七）结余分配：</w:t>
      </w:r>
      <w:r>
        <w:rPr>
          <w:rStyle w:val="22"/>
        </w:rPr>
        <w:t>指单位按照国家有关规定，缴纳所得</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auto"/>
        <w:outlineLvl w:val="9"/>
        <w:rPr>
          <w:rStyle w:val="22"/>
          <w:rFonts w:hint="eastAsia" w:eastAsia="方正仿宋_GBK"/>
          <w:lang w:val="en-US" w:eastAsia="zh-CN"/>
        </w:rPr>
      </w:pPr>
      <w:r>
        <w:rPr>
          <w:rStyle w:val="22"/>
        </w:rPr>
        <w:t>税、提取专用基金、转入非财政拨款结余等当年结余的</w:t>
      </w:r>
      <w:r>
        <w:rPr>
          <w:rStyle w:val="22"/>
          <w:rFonts w:hint="eastAsia" w:eastAsia="方正仿宋_GBK"/>
          <w:lang w:val="en-US" w:eastAsia="zh-CN"/>
        </w:rPr>
        <w:t>分配</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default" w:ascii="方正仿宋_GBK" w:hAnsi="方正仿宋_GBK" w:eastAsia="方正仿宋_GBK" w:cs="方正仿宋_GBK"/>
          <w:sz w:val="32"/>
          <w:szCs w:val="32"/>
        </w:rPr>
      </w:pPr>
      <w:r>
        <w:rPr>
          <w:rStyle w:val="22"/>
        </w:rPr>
        <w:t>情况。</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（八）年末结转和结余：</w:t>
      </w:r>
      <w:r>
        <w:rPr>
          <w:rStyle w:val="22"/>
        </w:rPr>
        <w:t>指单位结转下年的基本支出结转、项目支出结转和结余、经营结余。</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（九）基本支出：</w:t>
      </w:r>
      <w:r>
        <w:rPr>
          <w:rStyle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（十）项目支出：</w:t>
      </w:r>
      <w:r>
        <w:rPr>
          <w:rStyle w:val="22"/>
        </w:rPr>
        <w:t>指在基本支出之外为完成特定行政任务和事业发展目标所发生的支出。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（十一）经营支出：</w:t>
      </w:r>
      <w:r>
        <w:rPr>
          <w:rStyle w:val="22"/>
        </w:rPr>
        <w:t>指事业单位在专业业务活动及其辅助活动之外开展非独立核算经营活动发生的支出。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（十二）“三公”经费：</w:t>
      </w:r>
      <w:r>
        <w:rPr>
          <w:rStyle w:val="2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（十三）机关运行经费：</w:t>
      </w:r>
      <w:r>
        <w:rPr>
          <w:rStyle w:val="22"/>
        </w:rPr>
        <w:t>为保障行政单位（含参照公务</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auto"/>
        <w:outlineLvl w:val="9"/>
        <w:rPr>
          <w:rStyle w:val="22"/>
          <w:rFonts w:hint="default"/>
        </w:rPr>
      </w:pPr>
      <w:r>
        <w:rPr>
          <w:rStyle w:val="22"/>
        </w:rPr>
        <w:t>员法管理的事业单位）运行用于购买货物和服务等的各项公</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auto"/>
        <w:outlineLvl w:val="9"/>
        <w:rPr>
          <w:rStyle w:val="22"/>
          <w:rFonts w:hint="default"/>
        </w:rPr>
      </w:pPr>
      <w:r>
        <w:rPr>
          <w:rStyle w:val="22"/>
        </w:rPr>
        <w:t>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（十四）工资福利支出（支出经济分类科目类级）：</w:t>
      </w:r>
      <w:r>
        <w:rPr>
          <w:rStyle w:val="22"/>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（十五）商品和服务支出（支出经济分类科目类级）：</w:t>
      </w:r>
      <w:r>
        <w:rPr>
          <w:rStyle w:val="22"/>
        </w:rPr>
        <w:t>反映单位购买商品和服务的支出（不包括用于购置固定资产的支出、战略性和应急储备支出）。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21"/>
        </w:rPr>
        <w:t>（十六）对个人和家庭的补助（支出经济分类科目类级）：</w:t>
      </w:r>
      <w:r>
        <w:rPr>
          <w:rStyle w:val="22"/>
        </w:rPr>
        <w:t>反映用于对个人和家庭的补助支出。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eastAsia="方正仿宋_GBK"/>
          <w:lang w:val="en-US" w:eastAsia="zh-CN"/>
        </w:rPr>
      </w:pPr>
      <w:r>
        <w:rPr>
          <w:rStyle w:val="21"/>
        </w:rPr>
        <w:t>（十七）其他资本性支出（支出经济分类科目类级）：</w:t>
      </w:r>
      <w:r>
        <w:rPr>
          <w:rStyle w:val="22"/>
        </w:rPr>
        <w:t>反映非各级发展与改革部门集中安排的用于购置固定资产、战略性和应急性储备、土地和无形资产，以及构建基础设施、大型修缮和财政支持企业更新改造所发生的支出。</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七</w:t>
      </w:r>
      <w:r>
        <w:t>、决算公开联系方式及信息反馈渠道</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pPr>
      <w:r>
        <w:t>本</w:t>
      </w:r>
      <w:r>
        <w:rPr>
          <w:rFonts w:hint="eastAsia"/>
          <w:lang w:eastAsia="zh-CN"/>
        </w:rPr>
        <w:t>单位</w:t>
      </w:r>
      <w:r>
        <w:t>决算公开信息反馈和联系方式：</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lang w:val="en-US"/>
        </w:rPr>
        <w:sectPr>
          <w:footerReference r:id="rId3" w:type="default"/>
          <w:pgSz w:w="11915" w:h="16840"/>
          <w:pgMar w:top="1440" w:right="1803" w:bottom="1440" w:left="1803" w:header="851" w:footer="992" w:gutter="0"/>
          <w:pgNumType w:fmt="numberInDash"/>
          <w:cols w:space="720" w:num="1"/>
          <w:docGrid w:type="lines" w:linePitch="312" w:charSpace="0"/>
        </w:sectPr>
      </w:pPr>
      <w:r>
        <w:rPr>
          <w:rFonts w:hint="eastAsia"/>
          <w:lang w:eastAsia="zh-CN"/>
        </w:rPr>
        <w:t>联系人：张影</w:t>
      </w:r>
      <w:r>
        <w:rPr>
          <w:rFonts w:hint="eastAsia"/>
          <w:lang w:val="en-US" w:eastAsia="zh-CN"/>
        </w:rPr>
        <w:t>，</w:t>
      </w:r>
      <w:r>
        <w:rPr>
          <w:rFonts w:hint="eastAsia"/>
          <w:lang w:eastAsia="zh-CN"/>
        </w:rPr>
        <w:t>联系电话：</w:t>
      </w:r>
      <w:r>
        <w:rPr>
          <w:rFonts w:hint="eastAsia"/>
          <w:lang w:val="en-US" w:eastAsia="zh-CN"/>
        </w:rPr>
        <w:t>023-76681679。</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秀山土家族苗族自治县突发事件预警信息发布中心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62.84</w:t>
            </w:r>
            <w:r>
              <w:rPr>
                <w:rFonts w:ascii="Times New Roman" w:hAnsi="Times New Roman"/>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15"/>
        <w:gridCol w:w="3040"/>
        <w:gridCol w:w="1290"/>
        <w:gridCol w:w="1345"/>
        <w:gridCol w:w="1238"/>
        <w:gridCol w:w="1238"/>
        <w:gridCol w:w="1302"/>
        <w:gridCol w:w="1238"/>
        <w:gridCol w:w="1373"/>
        <w:gridCol w:w="1643"/>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4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秀山土家族苗族自治县突发事件预警信息发布中心</w:t>
            </w:r>
          </w:p>
        </w:tc>
        <w:tc>
          <w:tcPr>
            <w:tcW w:w="134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4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4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4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4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62.84</w:t>
            </w:r>
            <w:r>
              <w:rPr>
                <w:rFonts w:ascii="Times New Roman" w:hAnsi="Times New Roman"/>
                <w:b/>
                <w:color w:val="000000"/>
                <w:sz w:val="20"/>
                <w:u w:color="auto"/>
              </w:rPr>
              <w:t xml:space="preserve"> </w:t>
            </w:r>
          </w:p>
        </w:tc>
        <w:tc>
          <w:tcPr>
            <w:tcW w:w="1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62.84</w:t>
            </w:r>
            <w:r>
              <w:rPr>
                <w:rFonts w:ascii="Times New Roman" w:hAnsi="Times New Roman"/>
                <w:b/>
                <w:color w:val="000000"/>
                <w:sz w:val="20"/>
                <w:u w:color="auto"/>
              </w:rPr>
              <w:t xml:space="preserve"> </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44.47</w:t>
            </w:r>
            <w:r>
              <w:rPr>
                <w:rFonts w:ascii="Times New Roman" w:hAnsi="Times New Roman"/>
                <w:color w:val="000000"/>
                <w:sz w:val="20"/>
                <w:u w:color="auto"/>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44.47</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秀山土家族苗族自治县突发事件预警信息发布中心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62.84</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62.84</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秀山土家族苗族自治县突发事件预警信息发布中心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秀山土家族苗族自治县突发事件预警信息发布中心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秀山土家族苗族自治县突发事件预警信息发布中心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57.82</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秀山土家族苗族自治县突发事件预警信息发布中心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秀山土家族苗族自治县突发事件预警信息发布中心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秀山土家族苗族自治县突发事件预警信息发布中心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356F5"/>
    <w:multiLevelType w:val="singleLevel"/>
    <w:tmpl w:val="977356F5"/>
    <w:lvl w:ilvl="0" w:tentative="0">
      <w:start w:val="2"/>
      <w:numFmt w:val="chineseCounting"/>
      <w:suff w:val="nothing"/>
      <w:lvlText w:val="（%1）"/>
      <w:lvlJc w:val="left"/>
      <w:rPr>
        <w:rFonts w:hint="eastAsia"/>
      </w:rPr>
    </w:lvl>
  </w:abstractNum>
  <w:abstractNum w:abstractNumId="1">
    <w:nsid w:val="2B54DB70"/>
    <w:multiLevelType w:val="singleLevel"/>
    <w:tmpl w:val="2B54DB70"/>
    <w:lvl w:ilvl="0" w:tentative="0">
      <w:start w:val="4"/>
      <w:numFmt w:val="chineseCounting"/>
      <w:suff w:val="nothing"/>
      <w:lvlText w:val="%1、"/>
      <w:lvlJc w:val="left"/>
      <w:rPr>
        <w:rFonts w:hint="eastAsia"/>
      </w:rPr>
    </w:lvl>
  </w:abstractNum>
  <w:abstractNum w:abstractNumId="2">
    <w:nsid w:val="461D5AE8"/>
    <w:multiLevelType w:val="singleLevel"/>
    <w:tmpl w:val="461D5AE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305CAD"/>
    <w:rsid w:val="044C50BA"/>
    <w:rsid w:val="054162A1"/>
    <w:rsid w:val="05BC6D49"/>
    <w:rsid w:val="06194FF1"/>
    <w:rsid w:val="06A2550B"/>
    <w:rsid w:val="06F80EE2"/>
    <w:rsid w:val="07001CCA"/>
    <w:rsid w:val="075678DB"/>
    <w:rsid w:val="079D7CC7"/>
    <w:rsid w:val="08051BCA"/>
    <w:rsid w:val="086C12F4"/>
    <w:rsid w:val="08705944"/>
    <w:rsid w:val="08BA052C"/>
    <w:rsid w:val="08DB07BA"/>
    <w:rsid w:val="0969353F"/>
    <w:rsid w:val="098305D0"/>
    <w:rsid w:val="09A05E1F"/>
    <w:rsid w:val="09B1218B"/>
    <w:rsid w:val="0A3317EA"/>
    <w:rsid w:val="0A5C4B69"/>
    <w:rsid w:val="0A86124A"/>
    <w:rsid w:val="0AB54CC0"/>
    <w:rsid w:val="0B16387D"/>
    <w:rsid w:val="0B9335CE"/>
    <w:rsid w:val="0BF2311A"/>
    <w:rsid w:val="0C7927C4"/>
    <w:rsid w:val="0C9B098C"/>
    <w:rsid w:val="0D673E11"/>
    <w:rsid w:val="0DDA54E4"/>
    <w:rsid w:val="0E3A5F83"/>
    <w:rsid w:val="0F836721"/>
    <w:rsid w:val="0FA25D96"/>
    <w:rsid w:val="0FA3019A"/>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512847"/>
    <w:rsid w:val="189079DC"/>
    <w:rsid w:val="189B0D0B"/>
    <w:rsid w:val="18B43F7C"/>
    <w:rsid w:val="191C433B"/>
    <w:rsid w:val="194A1770"/>
    <w:rsid w:val="19B906A4"/>
    <w:rsid w:val="19ED457C"/>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97042"/>
    <w:rsid w:val="1FBB35CD"/>
    <w:rsid w:val="1FCD26AF"/>
    <w:rsid w:val="20642787"/>
    <w:rsid w:val="21556F04"/>
    <w:rsid w:val="216C7146"/>
    <w:rsid w:val="22403BD3"/>
    <w:rsid w:val="235417B6"/>
    <w:rsid w:val="24B92327"/>
    <w:rsid w:val="24C14514"/>
    <w:rsid w:val="2533755C"/>
    <w:rsid w:val="25791755"/>
    <w:rsid w:val="26396DF4"/>
    <w:rsid w:val="26632AEE"/>
    <w:rsid w:val="27167136"/>
    <w:rsid w:val="271B442C"/>
    <w:rsid w:val="27B23302"/>
    <w:rsid w:val="284B1E85"/>
    <w:rsid w:val="28B46C06"/>
    <w:rsid w:val="29310A5F"/>
    <w:rsid w:val="29C37A35"/>
    <w:rsid w:val="2A076083"/>
    <w:rsid w:val="2A73162E"/>
    <w:rsid w:val="2B167953"/>
    <w:rsid w:val="2B200583"/>
    <w:rsid w:val="2B27367F"/>
    <w:rsid w:val="2B724B56"/>
    <w:rsid w:val="2B8209DE"/>
    <w:rsid w:val="2B821C91"/>
    <w:rsid w:val="2BBE50F8"/>
    <w:rsid w:val="2BF81A22"/>
    <w:rsid w:val="2C636760"/>
    <w:rsid w:val="2C6762A3"/>
    <w:rsid w:val="2D396F1E"/>
    <w:rsid w:val="2D83304B"/>
    <w:rsid w:val="2DF41D09"/>
    <w:rsid w:val="2E140D5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C96A4C"/>
    <w:rsid w:val="39DC4FD6"/>
    <w:rsid w:val="39F03D7A"/>
    <w:rsid w:val="39F33306"/>
    <w:rsid w:val="3A2C1C67"/>
    <w:rsid w:val="3A2C6DA1"/>
    <w:rsid w:val="3A6A77C9"/>
    <w:rsid w:val="3ADD7F09"/>
    <w:rsid w:val="3AE00BA1"/>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A75764"/>
    <w:rsid w:val="41E0734B"/>
    <w:rsid w:val="42354ACF"/>
    <w:rsid w:val="426C1EA8"/>
    <w:rsid w:val="42736402"/>
    <w:rsid w:val="42E86A87"/>
    <w:rsid w:val="43307B09"/>
    <w:rsid w:val="436D44AF"/>
    <w:rsid w:val="439A3EB9"/>
    <w:rsid w:val="43A2191B"/>
    <w:rsid w:val="43BB152F"/>
    <w:rsid w:val="44C37687"/>
    <w:rsid w:val="45CB699A"/>
    <w:rsid w:val="46423C66"/>
    <w:rsid w:val="46565593"/>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B97C54"/>
    <w:rsid w:val="4B135857"/>
    <w:rsid w:val="4B7951CB"/>
    <w:rsid w:val="4B7C315C"/>
    <w:rsid w:val="4C6562E6"/>
    <w:rsid w:val="4C9316A8"/>
    <w:rsid w:val="4D1F53CA"/>
    <w:rsid w:val="4DAC4ACA"/>
    <w:rsid w:val="4DBE01D2"/>
    <w:rsid w:val="4F0C6BA3"/>
    <w:rsid w:val="4F0E0779"/>
    <w:rsid w:val="4F186D58"/>
    <w:rsid w:val="50F06B6E"/>
    <w:rsid w:val="51D21804"/>
    <w:rsid w:val="52234D33"/>
    <w:rsid w:val="522F6E0C"/>
    <w:rsid w:val="52463BA1"/>
    <w:rsid w:val="52F163D4"/>
    <w:rsid w:val="531A2DB4"/>
    <w:rsid w:val="53C0244D"/>
    <w:rsid w:val="53DD4D4E"/>
    <w:rsid w:val="53E578CE"/>
    <w:rsid w:val="541330F0"/>
    <w:rsid w:val="54272666"/>
    <w:rsid w:val="543B029D"/>
    <w:rsid w:val="54602385"/>
    <w:rsid w:val="54861779"/>
    <w:rsid w:val="54FE2A13"/>
    <w:rsid w:val="552256E1"/>
    <w:rsid w:val="554E5773"/>
    <w:rsid w:val="555829E0"/>
    <w:rsid w:val="555A3CBC"/>
    <w:rsid w:val="5582012B"/>
    <w:rsid w:val="558E4E05"/>
    <w:rsid w:val="55BE2E85"/>
    <w:rsid w:val="56530F5D"/>
    <w:rsid w:val="567700D3"/>
    <w:rsid w:val="568B1F02"/>
    <w:rsid w:val="569E5A73"/>
    <w:rsid w:val="56FF7E9E"/>
    <w:rsid w:val="578867FC"/>
    <w:rsid w:val="5842572D"/>
    <w:rsid w:val="59636026"/>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944DD7"/>
    <w:rsid w:val="6319381F"/>
    <w:rsid w:val="63C25DC5"/>
    <w:rsid w:val="63C62057"/>
    <w:rsid w:val="64571EF5"/>
    <w:rsid w:val="64AC2D7D"/>
    <w:rsid w:val="64FB113D"/>
    <w:rsid w:val="656152C6"/>
    <w:rsid w:val="6587477F"/>
    <w:rsid w:val="658C3A08"/>
    <w:rsid w:val="65C031CA"/>
    <w:rsid w:val="65CE6852"/>
    <w:rsid w:val="66267C04"/>
    <w:rsid w:val="663F505A"/>
    <w:rsid w:val="66AF5D7C"/>
    <w:rsid w:val="66EE5541"/>
    <w:rsid w:val="67643BF6"/>
    <w:rsid w:val="67924660"/>
    <w:rsid w:val="68407834"/>
    <w:rsid w:val="6883293E"/>
    <w:rsid w:val="688412AD"/>
    <w:rsid w:val="68EB1B71"/>
    <w:rsid w:val="69650D77"/>
    <w:rsid w:val="696C0310"/>
    <w:rsid w:val="6A6C7940"/>
    <w:rsid w:val="6A9F1565"/>
    <w:rsid w:val="6AAD2300"/>
    <w:rsid w:val="6AC20FBD"/>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3955D65"/>
    <w:rsid w:val="73C1709F"/>
    <w:rsid w:val="750837F0"/>
    <w:rsid w:val="754758CF"/>
    <w:rsid w:val="75595ECD"/>
    <w:rsid w:val="75B2335E"/>
    <w:rsid w:val="764F62AB"/>
    <w:rsid w:val="765C45EC"/>
    <w:rsid w:val="766823AB"/>
    <w:rsid w:val="768A7619"/>
    <w:rsid w:val="76AF3565"/>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EE60BD9"/>
    <w:rsid w:val="7F446A19"/>
    <w:rsid w:val="7F672D3D"/>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8">
    <w:name w:val="正文111"/>
    <w:basedOn w:val="1"/>
    <w:link w:val="22"/>
    <w:qFormat/>
    <w:uiPriority w:val="0"/>
    <w:pPr>
      <w:shd w:val="clear" w:color="auto" w:fill="FFFFFF"/>
      <w:spacing w:line="560" w:lineRule="exact"/>
      <w:ind w:firstLine="643" w:firstLineChars="200"/>
      <w:jc w:val="both"/>
    </w:pPr>
    <w:rPr>
      <w:rFonts w:ascii="Times New Roman" w:hAnsi="Times New Roman" w:eastAsia="方正仿宋_GBK" w:cs="方正黑体_GBK"/>
      <w:bCs/>
      <w:sz w:val="32"/>
      <w:szCs w:val="32"/>
      <w:shd w:val="clear" w:color="auto" w:fill="FFFFFF"/>
    </w:rPr>
  </w:style>
  <w:style w:type="paragraph" w:customStyle="1" w:styleId="19">
    <w:name w:val="1级"/>
    <w:basedOn w:val="1"/>
    <w:qFormat/>
    <w:uiPriority w:val="0"/>
    <w:pPr>
      <w:shd w:val="clear" w:color="auto" w:fill="FFFFFF"/>
      <w:spacing w:line="596" w:lineRule="exact"/>
      <w:ind w:firstLine="643" w:firstLineChars="200"/>
    </w:pPr>
    <w:rPr>
      <w:rFonts w:ascii="方正黑体_GBK" w:hAnsi="方正黑体_GBK" w:eastAsia="方正黑体_GBK" w:cs="方正黑体_GBK"/>
      <w:bCs/>
      <w:sz w:val="32"/>
      <w:szCs w:val="32"/>
      <w:shd w:val="clear" w:color="auto" w:fill="FFFFFF"/>
    </w:rPr>
  </w:style>
  <w:style w:type="paragraph" w:customStyle="1" w:styleId="20">
    <w:name w:val="2级"/>
    <w:basedOn w:val="1"/>
    <w:link w:val="21"/>
    <w:qFormat/>
    <w:uiPriority w:val="0"/>
    <w:pPr>
      <w:widowControl w:val="0"/>
      <w:shd w:val="clear" w:color="auto" w:fill="FFFFFF"/>
      <w:spacing w:line="596" w:lineRule="exact"/>
      <w:ind w:firstLine="643" w:firstLineChars="200"/>
    </w:pPr>
    <w:rPr>
      <w:rFonts w:ascii="方正楷体_GBK" w:hAnsi="方正楷体_GBK" w:eastAsia="方正楷体_GBK" w:cs="方正楷体_GBK"/>
      <w:bCs/>
      <w:sz w:val="32"/>
      <w:szCs w:val="32"/>
      <w:shd w:val="clear" w:color="auto" w:fill="FFFFFF"/>
    </w:rPr>
  </w:style>
  <w:style w:type="character" w:customStyle="1" w:styleId="21">
    <w:name w:val="2级 Char"/>
    <w:link w:val="20"/>
    <w:qFormat/>
    <w:uiPriority w:val="0"/>
    <w:rPr>
      <w:rFonts w:ascii="方正楷体_GBK" w:hAnsi="方正楷体_GBK" w:eastAsia="方正楷体_GBK" w:cs="方正楷体_GBK"/>
      <w:bCs/>
      <w:sz w:val="32"/>
      <w:szCs w:val="32"/>
      <w:shd w:val="clear" w:color="auto" w:fill="FFFFFF"/>
    </w:rPr>
  </w:style>
  <w:style w:type="character" w:customStyle="1" w:styleId="22">
    <w:name w:val="正文111 Char"/>
    <w:link w:val="18"/>
    <w:qFormat/>
    <w:uiPriority w:val="0"/>
    <w:rPr>
      <w:rFonts w:ascii="Times New Roman" w:hAnsi="Times New Roman" w:eastAsia="方正仿宋_GBK" w:cs="方正黑体_GBK"/>
      <w:bCs/>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5213</Words>
  <Characters>5716</Characters>
  <Lines>186</Lines>
  <Paragraphs>52</Paragraphs>
  <TotalTime>14</TotalTime>
  <ScaleCrop>false</ScaleCrop>
  <LinksUpToDate>false</LinksUpToDate>
  <CharactersWithSpaces>5775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2025-10-13T01:43:35Z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y fmtid="{D5CDD505-2E9C-101B-9397-08002B2CF9AE}" pid="4" name="KSOTemplateDocerSaveRecord">
    <vt:lpwstr>eyJoZGlkIjoiMTM2NmI0Y2E3YzM2ZWVlY2UwNzk5M2I1MzE2NjIzYzgiLCJ1c2VySWQiOiI2MzI2NjcxNjQifQ==</vt:lpwstr>
  </property>
</Properties>
</file>