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b w:val="0"/>
          <w:bCs w:val="0"/>
          <w:spacing w:val="-17"/>
          <w:sz w:val="44"/>
          <w:szCs w:val="44"/>
        </w:rPr>
      </w:pPr>
      <w:r>
        <w:rPr>
          <w:rFonts w:hint="eastAsia" w:ascii="方正小标宋_GBK" w:hAnsi="方正小标宋_GBK" w:eastAsia="方正小标宋_GBK" w:cs="方正小标宋_GBK"/>
          <w:b w:val="0"/>
          <w:bCs w:val="0"/>
          <w:spacing w:val="-17"/>
          <w:sz w:val="44"/>
          <w:szCs w:val="44"/>
        </w:rPr>
        <w:t>重庆市秀山土家族苗族自治县龙凤坝镇卫生院</w:t>
      </w:r>
    </w:p>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Fonts w:hint="eastAsia" w:ascii="方正小标宋_GBK" w:hAnsi="方正小标宋_GBK" w:eastAsia="方正小标宋_GBK" w:cs="方正小标宋_GBK"/>
          <w:b w:val="0"/>
          <w:bCs w:val="0"/>
          <w:sz w:val="44"/>
          <w:szCs w:val="44"/>
          <w:shd w:val="clear" w:color="auto" w:fill="FFFFFF"/>
        </w:rPr>
      </w:pPr>
      <w:r>
        <w:rPr>
          <w:rFonts w:hint="eastAsia" w:ascii="方正小标宋_GBK" w:hAnsi="方正小标宋_GBK" w:eastAsia="方正小标宋_GBK" w:cs="方正小标宋_GBK"/>
          <w:b w:val="0"/>
          <w:bCs w:val="0"/>
          <w:sz w:val="44"/>
          <w:szCs w:val="44"/>
          <w:shd w:val="clear" w:color="auto" w:fill="FFFFFF"/>
        </w:rPr>
        <w:t>2023年度决算公开说明</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right="0" w:firstLine="640" w:firstLineChars="200"/>
        <w:textAlignment w:val="auto"/>
        <w:rPr>
          <w:rStyle w:val="12"/>
          <w:rFonts w:hint="eastAsia" w:ascii="方正仿宋_GBK" w:hAnsi="方正仿宋_GBK" w:eastAsia="方正仿宋_GBK" w:cs="方正仿宋_GBK"/>
          <w:b w:val="0"/>
          <w:bCs w:val="0"/>
          <w:sz w:val="32"/>
          <w:szCs w:val="32"/>
          <w:shd w:val="clear" w:color="auto" w:fill="FFFFFF"/>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default" w:ascii="Times New Roman" w:hAnsi="Times New Roman" w:eastAsia="方正黑体_GBK" w:cs="Times New Roman"/>
          <w:b w:val="0"/>
          <w:bCs w:val="0"/>
          <w:sz w:val="32"/>
          <w:szCs w:val="32"/>
        </w:rPr>
      </w:pPr>
      <w:r>
        <w:rPr>
          <w:rStyle w:val="12"/>
          <w:rFonts w:hint="default" w:ascii="Times New Roman" w:hAnsi="Times New Roman" w:eastAsia="方正黑体_GBK" w:cs="Times New Roman"/>
          <w:b w:val="0"/>
          <w:bCs w:val="0"/>
          <w:sz w:val="32"/>
          <w:szCs w:val="32"/>
          <w:shd w:val="clear" w:color="auto" w:fill="FFFFFF"/>
        </w:rPr>
        <w:t>一、单位基本情况</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（一）职能职责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护理，提供双向转诊、现场急诊急救等医疗服务。本单位为乡镇卫生院，应当履行以下公共卫生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1.根据国家和本市规定收集、报送辖区内卫生健康信息，建立和管理居民健康档案，提出改进辖区公共卫生状况的建议；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2.开展健康教育，普及健康知识；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3.协助开展传染病以及地方病、寄生虫病的预防控制， 配合开展爱国卫生工作；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4.做好高危人群、重点慢性病患者的筛查和病例管理；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5.提供心理健康指导服务，实施精神病社区管理；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6.为妇女、儿童、老年人、残疾人等重点人群提供保健和康复服务；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7.提供计划生育技术服务，协助处置辖区内突发公共卫生事件等；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8.按要求提供其他公共卫生服务。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eastAsia" w:ascii="Times New Roman" w:hAnsi="Times New Roman" w:eastAsia="方正仿宋_GBK" w:cs="Times New Roman"/>
          <w:b w:val="0"/>
          <w:bCs w:val="0"/>
          <w:i w:val="0"/>
          <w:caps w:val="0"/>
          <w:color w:val="333333"/>
          <w:spacing w:val="0"/>
          <w:sz w:val="32"/>
          <w:szCs w:val="32"/>
          <w:shd w:val="clear" w:fill="FFFFFF"/>
        </w:rPr>
      </w:pPr>
      <w:r>
        <w:rPr>
          <w:rStyle w:val="12"/>
          <w:rFonts w:hint="eastAsia" w:ascii="方正楷体_GBK" w:hAnsi="方正楷体_GBK" w:eastAsia="方正楷体_GBK" w:cs="方正楷体_GBK"/>
          <w:b w:val="0"/>
          <w:bCs w:val="0"/>
          <w:sz w:val="32"/>
          <w:szCs w:val="32"/>
          <w:shd w:val="clear" w:color="auto" w:fill="FFFFFF"/>
        </w:rPr>
        <w:t>（二）机构设置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i w:val="0"/>
          <w:caps w:val="0"/>
          <w:color w:val="FF0000"/>
          <w:spacing w:val="0"/>
          <w:sz w:val="32"/>
          <w:szCs w:val="32"/>
          <w:shd w:val="clear" w:fill="FFFFFF"/>
        </w:rPr>
      </w:pPr>
      <w:r>
        <w:rPr>
          <w:rFonts w:hint="default" w:ascii="Times New Roman" w:hAnsi="Times New Roman" w:eastAsia="方正仿宋_GBK" w:cs="Times New Roman"/>
          <w:b w:val="0"/>
          <w:bCs w:val="0"/>
          <w:i w:val="0"/>
          <w:caps w:val="0"/>
          <w:color w:val="333333"/>
          <w:spacing w:val="0"/>
          <w:sz w:val="32"/>
          <w:szCs w:val="32"/>
          <w:shd w:val="clear" w:fill="FFFFFF"/>
        </w:rPr>
        <w:t>本单位为秀山县卫生健康委员会二级预算单位，无下级预算单位。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本单位下设综合门诊、综合住院、西药房、收费室、公卫科。</w:t>
      </w:r>
    </w:p>
    <w:p>
      <w:pPr>
        <w:pStyle w:val="10"/>
        <w:keepNext w:val="0"/>
        <w:keepLines w:val="0"/>
        <w:pageBreakBefore w:val="0"/>
        <w:widowControl/>
        <w:shd w:val="clear" w:color="auto" w:fill="FFFFFF"/>
        <w:kinsoku/>
        <w:wordWrap/>
        <w:overflowPunct/>
        <w:topLinePunct w:val="0"/>
        <w:autoSpaceDN/>
        <w:bidi w:val="0"/>
        <w:adjustRightInd/>
        <w:snapToGrid/>
        <w:spacing w:beforeAutospacing="0" w:after="0" w:afterAutospacing="0" w:line="560" w:lineRule="exact"/>
        <w:ind w:right="0" w:firstLine="640" w:firstLineChars="200"/>
        <w:textAlignment w:val="auto"/>
        <w:outlineLvl w:val="9"/>
        <w:rPr>
          <w:rFonts w:hint="eastAsia" w:ascii="方正黑体_GBK" w:hAnsi="方正黑体_GBK" w:eastAsia="方正黑体_GBK" w:cs="方正黑体_GBK"/>
          <w:b w:val="0"/>
          <w:bCs w:val="0"/>
          <w:sz w:val="32"/>
          <w:szCs w:val="32"/>
        </w:rPr>
      </w:pPr>
      <w:r>
        <w:rPr>
          <w:rStyle w:val="12"/>
          <w:rFonts w:hint="eastAsia" w:ascii="方正黑体_GBK" w:hAnsi="方正黑体_GBK" w:eastAsia="方正黑体_GBK" w:cs="方正黑体_GBK"/>
          <w:b w:val="0"/>
          <w:bCs w:val="0"/>
          <w:sz w:val="32"/>
          <w:szCs w:val="32"/>
          <w:shd w:val="clear" w:color="auto" w:fill="FFFFFF"/>
        </w:rPr>
        <w:t>二、单位决算情况说明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10"/>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2"/>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2023年度收入总计154.38万元，支出总计</w:t>
      </w:r>
      <w:r>
        <w:rPr>
          <w:rFonts w:hint="default" w:ascii="Times New Roman" w:hAnsi="Times New Roman" w:eastAsia="方正仿宋_GBK" w:cs="Times New Roman"/>
          <w:b w:val="0"/>
          <w:bCs w:val="0"/>
          <w:sz w:val="32"/>
          <w:szCs w:val="32"/>
        </w:rPr>
        <w:t>154.38</w:t>
      </w:r>
      <w:r>
        <w:rPr>
          <w:rFonts w:hint="default" w:ascii="Times New Roman" w:hAnsi="Times New Roman" w:eastAsia="方正仿宋_GBK" w:cs="Times New Roman"/>
          <w:b w:val="0"/>
          <w:bCs w:val="0"/>
          <w:sz w:val="32"/>
          <w:szCs w:val="32"/>
          <w:shd w:val="clear" w:color="auto" w:fill="FFFFFF"/>
        </w:rPr>
        <w:t>万元。收支较上年决算数增加38.02万元，增长32.67%，主要原因是</w:t>
      </w:r>
      <w:r>
        <w:rPr>
          <w:rFonts w:hint="eastAsia" w:ascii="Times New Roman" w:hAnsi="Times New Roman" w:eastAsia="方正仿宋_GBK" w:cs="Times New Roman"/>
          <w:b w:val="0"/>
          <w:bCs w:val="0"/>
          <w:sz w:val="32"/>
          <w:szCs w:val="32"/>
          <w:shd w:val="clear" w:color="auto" w:fill="FFFFFF"/>
          <w:lang w:eastAsia="zh-CN"/>
        </w:rPr>
        <w:t>本年度</w:t>
      </w:r>
      <w:r>
        <w:rPr>
          <w:rFonts w:hint="eastAsia" w:ascii="Times New Roman" w:hAnsi="Times New Roman" w:eastAsia="方正仿宋_GBK" w:cs="Times New Roman"/>
          <w:b w:val="0"/>
          <w:bCs w:val="0"/>
          <w:sz w:val="32"/>
          <w:szCs w:val="32"/>
          <w:shd w:val="clear" w:color="auto" w:fill="FFFFFF"/>
          <w:lang w:val="en-US" w:eastAsia="zh-CN"/>
        </w:rPr>
        <w:t>7月开始收治病人</w:t>
      </w:r>
      <w:r>
        <w:rPr>
          <w:rFonts w:hint="default" w:ascii="Times New Roman" w:hAnsi="Times New Roman" w:eastAsia="方正仿宋_GBK" w:cs="Times New Roman"/>
          <w:b w:val="0"/>
          <w:bCs w:val="0"/>
          <w:sz w:val="32"/>
          <w:szCs w:val="32"/>
          <w:shd w:val="clear" w:color="auto" w:fill="FFFFFF"/>
          <w:lang w:eastAsia="zh-CN"/>
        </w:rPr>
        <w:t>业务收入</w:t>
      </w:r>
      <w:r>
        <w:rPr>
          <w:rFonts w:hint="eastAsia" w:ascii="Times New Roman" w:hAnsi="Times New Roman" w:eastAsia="方正仿宋_GBK" w:cs="Times New Roman"/>
          <w:b w:val="0"/>
          <w:bCs w:val="0"/>
          <w:sz w:val="32"/>
          <w:szCs w:val="32"/>
          <w:shd w:val="clear" w:color="auto" w:fill="FFFFFF"/>
          <w:lang w:eastAsia="zh-CN"/>
        </w:rPr>
        <w:t>增加</w:t>
      </w:r>
      <w:r>
        <w:rPr>
          <w:rFonts w:hint="eastAsia" w:ascii="Times New Roman" w:hAnsi="Times New Roman" w:eastAsia="方正仿宋_GBK" w:cs="Times New Roman"/>
          <w:b w:val="0"/>
          <w:bCs w:val="0"/>
          <w:sz w:val="32"/>
          <w:szCs w:val="32"/>
          <w:shd w:val="clear" w:color="auto" w:fill="FFFFFF"/>
          <w:lang w:val="en-US" w:eastAsia="zh-CN"/>
        </w:rPr>
        <w:t>14.56万元</w:t>
      </w:r>
      <w:r>
        <w:rPr>
          <w:rFonts w:hint="eastAsia" w:ascii="Times New Roman" w:hAnsi="Times New Roman" w:eastAsia="方正仿宋_GBK" w:cs="Times New Roman"/>
          <w:b w:val="0"/>
          <w:bCs w:val="0"/>
          <w:sz w:val="32"/>
          <w:szCs w:val="32"/>
          <w:shd w:val="clear" w:color="auto" w:fill="FFFFFF"/>
          <w:lang w:eastAsia="zh-CN"/>
        </w:rPr>
        <w:t>、清算</w:t>
      </w:r>
      <w:r>
        <w:rPr>
          <w:rFonts w:hint="eastAsia" w:ascii="Times New Roman" w:hAnsi="Times New Roman" w:eastAsia="方正仿宋_GBK" w:cs="Times New Roman"/>
          <w:b w:val="0"/>
          <w:bCs w:val="0"/>
          <w:sz w:val="32"/>
          <w:szCs w:val="32"/>
          <w:shd w:val="clear" w:color="auto" w:fill="FFFFFF"/>
          <w:lang w:val="en-US" w:eastAsia="zh-CN"/>
        </w:rPr>
        <w:t>2022年超高绩效9.06万元、财政拨款项目收入7.15万元、</w:t>
      </w:r>
      <w:r>
        <w:rPr>
          <w:rFonts w:hint="default" w:ascii="Times New Roman" w:hAnsi="Times New Roman" w:eastAsia="方正仿宋_GBK" w:cs="Times New Roman"/>
          <w:b w:val="0"/>
          <w:bCs w:val="0"/>
          <w:sz w:val="32"/>
          <w:szCs w:val="32"/>
          <w:shd w:val="clear" w:color="auto" w:fill="FFFFFF"/>
          <w:lang w:eastAsia="zh-CN"/>
        </w:rPr>
        <w:t>在编人员的增加</w:t>
      </w:r>
      <w:r>
        <w:rPr>
          <w:rFonts w:hint="eastAsia"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lang w:eastAsia="zh-CN"/>
        </w:rPr>
        <w:t>在编人员的社保、公积金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w:t>
      </w:r>
      <w:r>
        <w:rPr>
          <w:rFonts w:hint="eastAsia" w:ascii="Times New Roman" w:hAnsi="Times New Roman" w:eastAsia="方正仿宋_GBK" w:cs="Times New Roman"/>
          <w:b w:val="0"/>
          <w:bCs w:val="0"/>
          <w:sz w:val="32"/>
          <w:szCs w:val="32"/>
          <w:shd w:val="clear" w:color="auto" w:fill="FFFFFF"/>
          <w:lang w:eastAsia="zh-CN"/>
        </w:rPr>
        <w:t>及</w:t>
      </w:r>
      <w:r>
        <w:rPr>
          <w:rFonts w:hint="default" w:ascii="Times New Roman" w:hAnsi="Times New Roman" w:eastAsia="方正仿宋_GBK" w:cs="Times New Roman"/>
          <w:b w:val="0"/>
          <w:bCs w:val="0"/>
          <w:sz w:val="32"/>
          <w:szCs w:val="32"/>
          <w:shd w:val="clear" w:color="auto" w:fill="FFFFFF"/>
          <w:lang w:eastAsia="zh-CN"/>
        </w:rPr>
        <w:t>每年薪级的增加</w:t>
      </w:r>
      <w:r>
        <w:rPr>
          <w:rFonts w:hint="eastAsia" w:ascii="Times New Roman" w:hAnsi="Times New Roman" w:eastAsia="方正仿宋_GBK" w:cs="Times New Roman"/>
          <w:b w:val="0"/>
          <w:bCs w:val="0"/>
          <w:sz w:val="32"/>
          <w:szCs w:val="32"/>
          <w:shd w:val="clear" w:color="auto" w:fill="FFFFFF"/>
          <w:lang w:eastAsia="zh-CN"/>
        </w:rPr>
        <w:t>，相应的支出增加。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2023年度收入合计154.38万元，较上年决算数增加38.02万元，增长32.67%，主要原因是</w:t>
      </w:r>
      <w:r>
        <w:rPr>
          <w:rFonts w:hint="eastAsia" w:ascii="Times New Roman" w:hAnsi="Times New Roman" w:eastAsia="方正仿宋_GBK" w:cs="Times New Roman"/>
          <w:b w:val="0"/>
          <w:bCs w:val="0"/>
          <w:sz w:val="32"/>
          <w:szCs w:val="32"/>
          <w:shd w:val="clear" w:color="auto" w:fill="FFFFFF"/>
          <w:lang w:eastAsia="zh-CN"/>
        </w:rPr>
        <w:t>本年度</w:t>
      </w:r>
      <w:r>
        <w:rPr>
          <w:rFonts w:hint="eastAsia" w:ascii="Times New Roman" w:hAnsi="Times New Roman" w:eastAsia="方正仿宋_GBK" w:cs="Times New Roman"/>
          <w:b w:val="0"/>
          <w:bCs w:val="0"/>
          <w:sz w:val="32"/>
          <w:szCs w:val="32"/>
          <w:shd w:val="clear" w:color="auto" w:fill="FFFFFF"/>
          <w:lang w:val="en-US" w:eastAsia="zh-CN"/>
        </w:rPr>
        <w:t>7月开始收治病人</w:t>
      </w:r>
      <w:r>
        <w:rPr>
          <w:rFonts w:hint="default" w:ascii="Times New Roman" w:hAnsi="Times New Roman" w:eastAsia="方正仿宋_GBK" w:cs="Times New Roman"/>
          <w:b w:val="0"/>
          <w:bCs w:val="0"/>
          <w:sz w:val="32"/>
          <w:szCs w:val="32"/>
          <w:shd w:val="clear" w:color="auto" w:fill="FFFFFF"/>
          <w:lang w:eastAsia="zh-CN"/>
        </w:rPr>
        <w:t>业务收入</w:t>
      </w:r>
      <w:r>
        <w:rPr>
          <w:rFonts w:hint="eastAsia" w:ascii="Times New Roman" w:hAnsi="Times New Roman" w:eastAsia="方正仿宋_GBK" w:cs="Times New Roman"/>
          <w:b w:val="0"/>
          <w:bCs w:val="0"/>
          <w:sz w:val="32"/>
          <w:szCs w:val="32"/>
          <w:shd w:val="clear" w:color="auto" w:fill="FFFFFF"/>
          <w:lang w:eastAsia="zh-CN"/>
        </w:rPr>
        <w:t>增加</w:t>
      </w:r>
      <w:r>
        <w:rPr>
          <w:rFonts w:hint="eastAsia" w:ascii="Times New Roman" w:hAnsi="Times New Roman" w:eastAsia="方正仿宋_GBK" w:cs="Times New Roman"/>
          <w:b w:val="0"/>
          <w:bCs w:val="0"/>
          <w:sz w:val="32"/>
          <w:szCs w:val="32"/>
          <w:shd w:val="clear" w:color="auto" w:fill="FFFFFF"/>
          <w:lang w:val="en-US" w:eastAsia="zh-CN"/>
        </w:rPr>
        <w:t>14.56万元</w:t>
      </w:r>
      <w:r>
        <w:rPr>
          <w:rFonts w:hint="eastAsia" w:ascii="Times New Roman" w:hAnsi="Times New Roman" w:eastAsia="方正仿宋_GBK" w:cs="Times New Roman"/>
          <w:b w:val="0"/>
          <w:bCs w:val="0"/>
          <w:sz w:val="32"/>
          <w:szCs w:val="32"/>
          <w:shd w:val="clear" w:color="auto" w:fill="FFFFFF"/>
          <w:lang w:eastAsia="zh-CN"/>
        </w:rPr>
        <w:t>、清算</w:t>
      </w:r>
      <w:r>
        <w:rPr>
          <w:rFonts w:hint="eastAsia" w:ascii="Times New Roman" w:hAnsi="Times New Roman" w:eastAsia="方正仿宋_GBK" w:cs="Times New Roman"/>
          <w:b w:val="0"/>
          <w:bCs w:val="0"/>
          <w:sz w:val="32"/>
          <w:szCs w:val="32"/>
          <w:shd w:val="clear" w:color="auto" w:fill="FFFFFF"/>
          <w:lang w:val="en-US" w:eastAsia="zh-CN"/>
        </w:rPr>
        <w:t>2022年超高绩效9.06万元、财政拨款项目收入7.15万元</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139.82</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90.57</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14.56</w:t>
      </w:r>
      <w:r>
        <w:rPr>
          <w:rFonts w:hint="default" w:ascii="Times New Roman" w:hAnsi="Times New Roman" w:eastAsia="方正仿宋_GBK" w:cs="Times New Roman"/>
          <w:b w:val="0"/>
          <w:bCs w:val="0"/>
          <w:sz w:val="32"/>
          <w:szCs w:val="32"/>
          <w:shd w:val="clear" w:color="auto" w:fill="FFFFFF"/>
        </w:rPr>
        <w:t>万元，占9.43%；经营收入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0.01</w:t>
      </w:r>
      <w:r>
        <w:rPr>
          <w:rFonts w:hint="default" w:ascii="Times New Roman" w:hAnsi="Times New Roman" w:eastAsia="方正仿宋_GBK" w:cs="Times New Roman"/>
          <w:b w:val="0"/>
          <w:bCs w:val="0"/>
          <w:sz w:val="32"/>
          <w:szCs w:val="32"/>
          <w:shd w:val="clear" w:color="auto" w:fill="FFFFFF"/>
        </w:rPr>
        <w:t>万元，占0.01%。此外，使用非财政拨款结余和专用结余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145.32</w:t>
      </w:r>
      <w:r>
        <w:rPr>
          <w:rFonts w:hint="default" w:ascii="Times New Roman" w:hAnsi="Times New Roman" w:eastAsia="方正仿宋_GBK" w:cs="Times New Roman"/>
          <w:b w:val="0"/>
          <w:bCs w:val="0"/>
          <w:sz w:val="32"/>
          <w:szCs w:val="32"/>
          <w:shd w:val="clear" w:color="auto" w:fill="FFFFFF"/>
        </w:rPr>
        <w:t>万元，较上年决算数增加28.96万元，增长24.89%，主要原因是</w:t>
      </w:r>
      <w:r>
        <w:rPr>
          <w:rFonts w:hint="eastAsia" w:ascii="Times New Roman" w:hAnsi="Times New Roman" w:eastAsia="方正仿宋_GBK" w:cs="Times New Roman"/>
          <w:b w:val="0"/>
          <w:bCs w:val="0"/>
          <w:sz w:val="32"/>
          <w:szCs w:val="32"/>
          <w:shd w:val="clear" w:color="auto" w:fill="FFFFFF"/>
          <w:lang w:eastAsia="zh-CN"/>
        </w:rPr>
        <w:t>业务收入增加相应的成本增加、财政拨款项目支出增加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lang w:eastAsia="zh-CN"/>
        </w:rPr>
        <w:t>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w:t>
      </w:r>
      <w:r>
        <w:rPr>
          <w:rFonts w:hint="default" w:ascii="Times New Roman" w:hAnsi="Times New Roman" w:eastAsia="方正仿宋_GBK" w:cs="Times New Roman"/>
          <w:b w:val="0"/>
          <w:bCs w:val="0"/>
          <w:color w:val="auto"/>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145.32</w:t>
      </w:r>
      <w:r>
        <w:rPr>
          <w:rFonts w:hint="default" w:ascii="Times New Roman" w:hAnsi="Times New Roman" w:eastAsia="方正仿宋_GBK" w:cs="Times New Roman"/>
          <w:b w:val="0"/>
          <w:bCs w:val="0"/>
          <w:sz w:val="32"/>
          <w:szCs w:val="32"/>
          <w:shd w:val="clear" w:color="auto" w:fill="FFFFFF"/>
        </w:rPr>
        <w:t>万元，占100.00%；项目支出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万元，占0.00%；经营支出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万元，占0.00%。此外，结余分配</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9.06</w:t>
      </w:r>
      <w:r>
        <w:rPr>
          <w:rFonts w:hint="default" w:ascii="Times New Roman" w:hAnsi="Times New Roman" w:eastAsia="方正仿宋_GBK" w:cs="Times New Roman"/>
          <w:b w:val="0"/>
          <w:bCs w:val="0"/>
          <w:sz w:val="32"/>
          <w:szCs w:val="32"/>
          <w:shd w:val="clear" w:color="auto" w:fill="FFFFFF"/>
        </w:rPr>
        <w:t>万元，较上年决算数增加9.06万元，增长100.00%，主要原因是</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022年绩效清算财</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政</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拨款在2023年年底到账，未及时支付导致结余增加</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9.06万元</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2023年度财政拨款收、支总计139.82万元。与2022年相比，财政拨款收、支总计各增加23.46万元，增长20.16%。主要原因是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7.15万元、本年度增加2名在编人员、</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基数和公积金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基数调增及每年薪级的增加，导致财政拨款收支增加。</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139.82</w:t>
      </w:r>
      <w:r>
        <w:rPr>
          <w:rFonts w:hint="default" w:ascii="Times New Roman" w:hAnsi="Times New Roman" w:eastAsia="方正仿宋_GBK" w:cs="Times New Roman"/>
          <w:b w:val="0"/>
          <w:bCs w:val="0"/>
          <w:sz w:val="32"/>
          <w:szCs w:val="32"/>
          <w:shd w:val="clear" w:color="auto" w:fill="FFFFFF"/>
        </w:rPr>
        <w:t>万元，较上年决算数增加23.46万元，增长20.16%。主要原因是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7.15万元、本年度增加2名在编人员、</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基数和公积金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基数调增及每年薪级的增加，导致财政拨款收支增加。</w:t>
      </w:r>
      <w:r>
        <w:rPr>
          <w:rFonts w:hint="default" w:ascii="Times New Roman" w:hAnsi="Times New Roman" w:eastAsia="方正仿宋_GBK" w:cs="Times New Roman"/>
          <w:b w:val="0"/>
          <w:bCs w:val="0"/>
          <w:sz w:val="32"/>
          <w:szCs w:val="32"/>
          <w:shd w:val="clear" w:color="auto" w:fill="FFFFFF"/>
        </w:rPr>
        <w:t>较年初预算数增加13.66万元，增长10.83%。主要原因是</w:t>
      </w:r>
      <w:r>
        <w:rPr>
          <w:rFonts w:hint="eastAsia" w:ascii="Times New Roman" w:hAnsi="Times New Roman" w:eastAsia="方正仿宋_GBK" w:cs="Times New Roman"/>
          <w:b w:val="0"/>
          <w:bCs w:val="0"/>
          <w:sz w:val="32"/>
          <w:szCs w:val="32"/>
          <w:shd w:val="clear" w:color="auto" w:fill="FFFFFF"/>
          <w:lang w:val="en-US" w:eastAsia="zh-CN"/>
        </w:rPr>
        <w:t>在</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职人员基本工资未及时更新导致人员经费和人员配套资金与实际拨款有差异。</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color w:val="FF0000"/>
          <w:sz w:val="32"/>
          <w:szCs w:val="32"/>
          <w:shd w:val="clear" w:color="auto" w:fill="FFFFFF"/>
          <w:lang w:val="en-US" w:eastAsia="zh-CN"/>
        </w:rPr>
      </w:pPr>
      <w:r>
        <w:rPr>
          <w:rStyle w:val="12"/>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cs="Times New Roman"/>
          <w:b w:val="0"/>
          <w:bCs w:val="0"/>
          <w:sz w:val="32"/>
          <w:szCs w:val="32"/>
          <w:shd w:val="clear" w:color="auto" w:fill="FFFFFF"/>
        </w:rPr>
        <w:t>2023年度一般公共预算财政拨款支出</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万元，较上年决算数增加14.40万元，增长12.38%。主要原因是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w:t>
      </w:r>
      <w:r>
        <w:rPr>
          <w:rFonts w:hint="default" w:ascii="Times New Roman" w:hAnsi="Times New Roman" w:eastAsia="方正仿宋_GBK" w:cs="Times New Roman"/>
          <w:b w:val="0"/>
          <w:bCs w:val="0"/>
          <w:sz w:val="32"/>
          <w:szCs w:val="32"/>
          <w:shd w:val="clear" w:color="auto" w:fill="FFFFFF"/>
          <w:lang w:eastAsia="zh-CN"/>
        </w:rPr>
        <w:t>在职人员的社保基数和公积金基数调增及每年薪级的增加，本年度还有</w:t>
      </w:r>
      <w:r>
        <w:rPr>
          <w:rFonts w:hint="default" w:ascii="Times New Roman" w:hAnsi="Times New Roman" w:eastAsia="方正仿宋_GBK" w:cs="Times New Roman"/>
          <w:b w:val="0"/>
          <w:bCs w:val="0"/>
          <w:sz w:val="32"/>
          <w:szCs w:val="32"/>
          <w:shd w:val="clear" w:color="auto" w:fill="FFFFFF"/>
          <w:lang w:val="en-US" w:eastAsia="zh-CN"/>
        </w:rPr>
        <w:t>2名人员的调入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较年初预算数增加4.60万元，增长3.65%。主要原因是</w:t>
      </w:r>
      <w:r>
        <w:rPr>
          <w:rFonts w:hint="default" w:ascii="Times New Roman" w:hAnsi="Times New Roman" w:eastAsia="方正仿宋_GBK" w:cs="Times New Roman"/>
          <w:b w:val="0"/>
          <w:bCs w:val="0"/>
          <w:sz w:val="32"/>
          <w:szCs w:val="32"/>
          <w:shd w:val="clear" w:color="auto" w:fill="FFFFFF"/>
          <w:lang w:eastAsia="zh-CN"/>
        </w:rPr>
        <w:t>本年度有</w:t>
      </w:r>
      <w:r>
        <w:rPr>
          <w:rFonts w:hint="default" w:ascii="Times New Roman" w:hAnsi="Times New Roman" w:eastAsia="方正仿宋_GBK" w:cs="Times New Roman"/>
          <w:b w:val="0"/>
          <w:bCs w:val="0"/>
          <w:sz w:val="32"/>
          <w:szCs w:val="32"/>
          <w:shd w:val="clear" w:color="auto" w:fill="FFFFFF"/>
          <w:lang w:val="en-US" w:eastAsia="zh-CN"/>
        </w:rPr>
        <w:t>2名职工的调入，导致年初未有预算，所以较年初预算有增加。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3.结转结余情况。</w:t>
      </w:r>
      <w:r>
        <w:rPr>
          <w:rFonts w:hint="default" w:ascii="Times New Roman" w:hAnsi="Times New Roman" w:eastAsia="方正仿宋_GBK" w:cs="Times New Roman"/>
          <w:b w:val="0"/>
          <w:bCs w:val="0"/>
          <w:sz w:val="32"/>
          <w:szCs w:val="32"/>
          <w:shd w:val="clear" w:color="auto" w:fill="FFFFFF"/>
        </w:rPr>
        <w:t>2023年度年末一般公共预算财政拨款结转和结余</w:t>
      </w:r>
      <w:r>
        <w:rPr>
          <w:rFonts w:hint="default" w:ascii="Times New Roman" w:hAnsi="Times New Roman" w:eastAsia="方正仿宋_GBK" w:cs="Times New Roman"/>
          <w:b w:val="0"/>
          <w:bCs w:val="0"/>
          <w:sz w:val="32"/>
          <w:szCs w:val="32"/>
        </w:rPr>
        <w:t>9.06</w:t>
      </w:r>
      <w:r>
        <w:rPr>
          <w:rFonts w:hint="default" w:ascii="Times New Roman" w:hAnsi="Times New Roman" w:eastAsia="方正仿宋_GBK" w:cs="Times New Roman"/>
          <w:b w:val="0"/>
          <w:bCs w:val="0"/>
          <w:sz w:val="32"/>
          <w:szCs w:val="32"/>
          <w:shd w:val="clear" w:color="auto" w:fill="FFFFFF"/>
        </w:rPr>
        <w:t>万元，较上年决算数增加9.06万元，增长100.00%，主要原因是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2022年绩效清算财</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政</w:t>
      </w:r>
      <w:bookmarkStart w:id="0" w:name="_GoBack"/>
      <w:bookmarkEnd w:id="0"/>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拨款在2023年年底到账，未及时支付导致结余增加。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 xml:space="preserve"> 4.比较情况。</w:t>
      </w:r>
      <w:r>
        <w:rPr>
          <w:rFonts w:hint="default" w:ascii="Times New Roman" w:hAnsi="Times New Roman" w:eastAsia="方正仿宋_GBK" w:cs="Times New Roman"/>
          <w:b w:val="0"/>
          <w:bCs w:val="0"/>
          <w:sz w:val="32"/>
          <w:szCs w:val="32"/>
          <w:shd w:val="clear" w:color="auto" w:fill="FFFFFF"/>
        </w:rPr>
        <w:t>本单位2023年度一般公共预算财政拨款支出主要用于以下几个方面：</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1</w:t>
      </w:r>
      <w:r>
        <w:rPr>
          <w:rFonts w:hint="default" w:ascii="Times New Roman" w:hAnsi="Times New Roman" w:eastAsia="方正仿宋_GBK" w:cs="Times New Roman"/>
          <w:b w:val="0"/>
          <w:bCs w:val="0"/>
          <w:sz w:val="32"/>
          <w:szCs w:val="32"/>
          <w:shd w:val="clear" w:color="auto" w:fill="FFFFFF"/>
        </w:rPr>
        <w:t>）社会保障与就业支出</w:t>
      </w:r>
      <w:r>
        <w:rPr>
          <w:rFonts w:hint="default" w:ascii="Times New Roman" w:hAnsi="Times New Roman" w:eastAsia="方正仿宋_GBK" w:cs="Times New Roman"/>
          <w:b w:val="0"/>
          <w:bCs w:val="0"/>
          <w:sz w:val="32"/>
          <w:szCs w:val="32"/>
        </w:rPr>
        <w:t>19.07</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14.58</w:t>
      </w:r>
      <w:r>
        <w:rPr>
          <w:rFonts w:hint="default" w:ascii="Times New Roman" w:hAnsi="Times New Roman" w:eastAsia="方正仿宋_GBK" w:cs="Times New Roman"/>
          <w:b w:val="0"/>
          <w:bCs w:val="0"/>
          <w:sz w:val="32"/>
          <w:szCs w:val="32"/>
          <w:shd w:val="clear" w:color="auto" w:fill="FFFFFF"/>
        </w:rPr>
        <w:t>%，较年初预算数减少5.69万元，下降22.98%，主要原因是</w:t>
      </w:r>
      <w:r>
        <w:rPr>
          <w:rFonts w:hint="default" w:ascii="Times New Roman" w:hAnsi="Times New Roman" w:eastAsia="方正仿宋_GBK" w:cs="Times New Roman"/>
          <w:b w:val="0"/>
          <w:bCs w:val="0"/>
          <w:sz w:val="32"/>
          <w:szCs w:val="32"/>
          <w:shd w:val="clear" w:color="auto" w:fill="FFFFFF"/>
          <w:lang w:eastAsia="zh-CN"/>
        </w:rPr>
        <w:t>年初预算时与实际缴费的基数不一致，年初预算把超额绩效核算在缴费的基数里面，而实际缴费基数不含超额绩效部分。</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）卫生健康支出</w:t>
      </w:r>
      <w:r>
        <w:rPr>
          <w:rFonts w:hint="default" w:ascii="Times New Roman" w:hAnsi="Times New Roman" w:eastAsia="方正仿宋_GBK" w:cs="Times New Roman"/>
          <w:b w:val="0"/>
          <w:bCs w:val="0"/>
          <w:sz w:val="32"/>
          <w:szCs w:val="32"/>
        </w:rPr>
        <w:t>104.94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80.26</w:t>
      </w:r>
      <w:r>
        <w:rPr>
          <w:rFonts w:hint="default" w:ascii="Times New Roman" w:hAnsi="Times New Roman" w:eastAsia="方正仿宋_GBK" w:cs="Times New Roman"/>
          <w:b w:val="0"/>
          <w:bCs w:val="0"/>
          <w:sz w:val="32"/>
          <w:szCs w:val="32"/>
          <w:shd w:val="clear" w:color="auto" w:fill="FFFFFF"/>
        </w:rPr>
        <w:t>%，较年初预算数增加12.83万元，增长13.93%，主要原因是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事业收入增加，导致相应的成本支出增加和在编人员的薪级调整及岗位变动导致基本工资的支出增加等。</w:t>
      </w:r>
    </w:p>
    <w:p>
      <w:pPr>
        <w:keepNext w:val="0"/>
        <w:keepLines w:val="0"/>
        <w:pageBreakBefore w:val="0"/>
        <w:widowControl/>
        <w:kinsoku/>
        <w:wordWrap/>
        <w:overflowPunct/>
        <w:topLinePunct w:val="0"/>
        <w:autoSpaceDE/>
        <w:autoSpaceDN/>
        <w:bidi w:val="0"/>
        <w:adjustRightInd/>
        <w:spacing w:beforeAutospacing="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rPr>
        <w:t>住房保障支出6.74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5.16</w:t>
      </w:r>
      <w:r>
        <w:rPr>
          <w:rFonts w:hint="default" w:ascii="Times New Roman" w:hAnsi="Times New Roman" w:eastAsia="方正仿宋_GBK" w:cs="Times New Roman"/>
          <w:b w:val="0"/>
          <w:bCs w:val="0"/>
          <w:sz w:val="32"/>
          <w:szCs w:val="32"/>
          <w:shd w:val="clear" w:color="auto" w:fill="FFFFFF"/>
        </w:rPr>
        <w:t>%，较年初预算数减少2.55万元，下降27.45%，主要原因是</w:t>
      </w:r>
      <w:r>
        <w:rPr>
          <w:rFonts w:hint="default" w:ascii="Times New Roman" w:hAnsi="Times New Roman" w:eastAsia="方正仿宋_GBK" w:cs="Times New Roman"/>
          <w:b w:val="0"/>
          <w:bCs w:val="0"/>
          <w:sz w:val="32"/>
          <w:szCs w:val="32"/>
          <w:shd w:val="clear" w:color="auto" w:fill="FFFFFF"/>
          <w:lang w:eastAsia="zh-CN"/>
        </w:rPr>
        <w:t>年初预算时与实际缴费的基数不一致，年初预算把超额绩效核算在缴费的基数里面，而实际缴费基数不含超额绩效部分。</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right="0" w:firstLine="640" w:firstLineChars="200"/>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 2023年度一般公共财政拨款基本支出</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万元，较上年决算数增加28.24万元，增长27.55%，主要原因是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在编人员的薪级调整及岗位变动导致基本工资的支出增加和社保、公积金缴费基数的调增导致缴费增加。</w:t>
      </w:r>
      <w:r>
        <w:rPr>
          <w:rFonts w:hint="default" w:ascii="Times New Roman" w:hAnsi="Times New Roman" w:eastAsia="方正仿宋_GBK" w:cs="Times New Roman"/>
          <w:b w:val="0"/>
          <w:bCs w:val="0"/>
          <w:sz w:val="32"/>
          <w:szCs w:val="32"/>
          <w:shd w:val="clear" w:color="auto" w:fill="FFFFFF"/>
        </w:rPr>
        <w:t>人员经费用途主要包括</w:t>
      </w:r>
      <w:r>
        <w:rPr>
          <w:rFonts w:hint="default" w:ascii="Times New Roman" w:hAnsi="Times New Roman" w:eastAsia="方正仿宋_GBK" w:cs="Times New Roman"/>
          <w:b w:val="0"/>
          <w:bCs w:val="0"/>
          <w:sz w:val="32"/>
          <w:szCs w:val="32"/>
          <w:shd w:val="clear" w:color="auto" w:fill="FFFFFF"/>
          <w:lang w:eastAsia="zh-CN"/>
        </w:rPr>
        <w:t>基本工资、绩效工资和社保、公积金的缴纳等</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万元，较上年决算数减少13.84万元，下降100.00%，主要原因是主要原因是</w:t>
      </w:r>
      <w:r>
        <w:rPr>
          <w:rFonts w:hint="default" w:ascii="Times New Roman" w:hAnsi="Times New Roman" w:eastAsia="方正仿宋_GBK" w:cs="Times New Roman"/>
          <w:b w:val="0"/>
          <w:bCs w:val="0"/>
          <w:sz w:val="32"/>
          <w:szCs w:val="32"/>
          <w:shd w:val="clear" w:color="auto" w:fill="FFFFFF"/>
          <w:lang w:eastAsia="zh-CN"/>
        </w:rPr>
        <w:t>上年度有财政拨款项目支出，本年度未有财政拨款项目支出，导致公用经费为</w:t>
      </w:r>
      <w:r>
        <w:rPr>
          <w:rFonts w:hint="default" w:ascii="Times New Roman" w:hAnsi="Times New Roman" w:eastAsia="方正仿宋_GBK" w:cs="Times New Roman"/>
          <w:b w:val="0"/>
          <w:bCs w:val="0"/>
          <w:sz w:val="32"/>
          <w:szCs w:val="32"/>
          <w:shd w:val="clear" w:color="auto" w:fill="FFFFFF"/>
          <w:lang w:val="en-US" w:eastAsia="zh-CN"/>
        </w:rPr>
        <w:t>0元</w:t>
      </w:r>
      <w:r>
        <w:rPr>
          <w:rFonts w:hint="default" w:ascii="Times New Roman" w:hAnsi="Times New Roman" w:eastAsia="方正仿宋_GBK" w:cs="Times New Roman"/>
          <w:b w:val="0"/>
          <w:bCs w:val="0"/>
          <w:sz w:val="32"/>
          <w:szCs w:val="32"/>
          <w:shd w:val="clear" w:color="auto" w:fill="FFFFFF"/>
        </w:rPr>
        <w:t>。公用经费用途主要包括</w:t>
      </w:r>
      <w:r>
        <w:rPr>
          <w:rFonts w:hint="default" w:ascii="Times New Roman" w:hAnsi="Times New Roman" w:eastAsia="方正仿宋_GBK" w:cs="Times New Roman"/>
          <w:b w:val="0"/>
          <w:bCs w:val="0"/>
          <w:sz w:val="32"/>
          <w:szCs w:val="32"/>
          <w:shd w:val="clear" w:color="auto" w:fill="FFFFFF"/>
          <w:lang w:eastAsia="zh-CN"/>
        </w:rPr>
        <w:t>设备的采购等。</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lang w:eastAsia="zh-CN"/>
        </w:rPr>
        <w:t>本单位2023年度无政府性基金预算财政拨款收支。</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lang w:eastAsia="zh-CN"/>
        </w:rPr>
        <w:t>本单位2023年度无国有资本经营预算财政拨款支出。</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三、“三公”经费情况说明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left"/>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属于差额拨款单位，财政未保障</w:t>
      </w: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“三公”经费。</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（二）“三公”经费分项支出情况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5"/>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（三）“三公”经费实物量情况</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四、其他需要说明的事项</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6"/>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因</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为差额拨款单位，财政未保障</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会议费和培训费。</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（二）机关运行经费情况说明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（三）国有资产占用情况说明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2023年度本单位政府采购支出总额</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万元，其中：政府采购货物支出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万元、政府采购工程支出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万元、政府采购服务支出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万元。授予中小企业合同金额</w:t>
      </w:r>
      <w:r>
        <w:rPr>
          <w:rFonts w:hint="default" w:ascii="Times New Roman" w:hAnsi="Times New Roman" w:eastAsia="方正仿宋_GBK" w:cs="Times New Roman"/>
          <w:b w:val="0"/>
          <w:bCs w:val="0"/>
          <w:sz w:val="32"/>
          <w:szCs w:val="32"/>
          <w:highlight w:val="none"/>
        </w:rPr>
        <w:t>0.00万</w:t>
      </w:r>
      <w:r>
        <w:rPr>
          <w:rFonts w:hint="default" w:ascii="Times New Roman" w:hAnsi="Times New Roman" w:eastAsia="方正仿宋_GBK" w:cs="Times New Roman"/>
          <w:b w:val="0"/>
          <w:bCs w:val="0"/>
          <w:sz w:val="32"/>
          <w:szCs w:val="32"/>
          <w:highlight w:val="none"/>
          <w:shd w:val="clear" w:color="auto" w:fill="FFFFFF"/>
        </w:rPr>
        <w:t>元，占政府采购支出总额的</w:t>
      </w:r>
      <w:r>
        <w:rPr>
          <w:rFonts w:hint="default" w:ascii="Times New Roman" w:hAnsi="Times New Roman" w:eastAsia="方正仿宋_GBK" w:cs="Times New Roman"/>
          <w:b w:val="0"/>
          <w:bCs w:val="0"/>
          <w:sz w:val="32"/>
          <w:szCs w:val="32"/>
          <w:highlight w:val="none"/>
        </w:rPr>
        <w:t>0</w:t>
      </w:r>
      <w:r>
        <w:rPr>
          <w:rFonts w:hint="default" w:ascii="Times New Roman" w:hAnsi="Times New Roman" w:eastAsia="方正仿宋_GBK" w:cs="Times New Roman"/>
          <w:b w:val="0"/>
          <w:bCs w:val="0"/>
          <w:sz w:val="32"/>
          <w:szCs w:val="32"/>
          <w:highlight w:val="none"/>
          <w:shd w:val="clear" w:color="auto" w:fill="FFFFFF"/>
        </w:rPr>
        <w:t>%，其中：授予小微企业合同金额</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万元，占政府采购支出总额的</w:t>
      </w:r>
      <w:r>
        <w:rPr>
          <w:rFonts w:hint="default" w:ascii="Times New Roman" w:hAnsi="Times New Roman" w:eastAsia="方正仿宋_GBK" w:cs="Times New Roman"/>
          <w:b w:val="0"/>
          <w:bCs w:val="0"/>
          <w:sz w:val="32"/>
          <w:szCs w:val="32"/>
          <w:highlight w:val="none"/>
        </w:rPr>
        <w:t>0</w:t>
      </w:r>
      <w:r>
        <w:rPr>
          <w:rFonts w:hint="default" w:ascii="Times New Roman" w:hAnsi="Times New Roman" w:eastAsia="方正仿宋_GBK" w:cs="Times New Roman"/>
          <w:b w:val="0"/>
          <w:bCs w:val="0"/>
          <w:sz w:val="32"/>
          <w:szCs w:val="32"/>
          <w:highlight w:val="none"/>
          <w:shd w:val="clear" w:color="auto" w:fill="FFFFFF"/>
        </w:rPr>
        <w:t xml:space="preserve"> %。2023年度</w:t>
      </w:r>
      <w:r>
        <w:rPr>
          <w:rFonts w:hint="eastAsia" w:ascii="Times New Roman" w:hAnsi="Times New Roman" w:eastAsia="方正仿宋_GBK" w:cs="Times New Roman"/>
          <w:b w:val="0"/>
          <w:bCs w:val="0"/>
          <w:sz w:val="32"/>
          <w:szCs w:val="32"/>
          <w:highlight w:val="none"/>
          <w:shd w:val="clear" w:color="auto" w:fill="FFFFFF"/>
          <w:lang w:eastAsia="zh-CN"/>
        </w:rPr>
        <w:t>本单位</w:t>
      </w:r>
      <w:r>
        <w:rPr>
          <w:rFonts w:hint="default" w:ascii="Times New Roman" w:hAnsi="Times New Roman" w:eastAsia="方正仿宋_GBK" w:cs="Times New Roman"/>
          <w:b w:val="0"/>
          <w:bCs w:val="0"/>
          <w:sz w:val="32"/>
          <w:szCs w:val="32"/>
          <w:highlight w:val="none"/>
          <w:shd w:val="clear" w:color="auto" w:fill="FFFFFF"/>
        </w:rPr>
        <w:t>未发生政府采购事项，无相关经费支出。</w:t>
      </w:r>
    </w:p>
    <w:p>
      <w:pPr>
        <w:pStyle w:val="10"/>
        <w:keepNext w:val="0"/>
        <w:keepLines w:val="0"/>
        <w:pageBreakBefore w:val="0"/>
        <w:widowControl/>
        <w:numPr>
          <w:ilvl w:val="0"/>
          <w:numId w:val="2"/>
        </w:numPr>
        <w:shd w:val="clear" w:color="auto" w:fill="FFFFFF"/>
        <w:kinsoku/>
        <w:wordWrap/>
        <w:overflowPunct/>
        <w:topLinePunct w:val="0"/>
        <w:autoSpaceDN/>
        <w:bidi w:val="0"/>
        <w:adjustRightInd/>
        <w:spacing w:beforeAutospacing="0" w:after="0" w:afterAutospacing="0" w:line="560" w:lineRule="exact"/>
        <w:ind w:right="0" w:firstLine="640" w:firstLineChars="200"/>
        <w:textAlignment w:val="auto"/>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预算绩效管理情况说明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tbl>
      <w:tblPr>
        <w:tblStyle w:val="13"/>
        <w:tblpPr w:leftFromText="180" w:rightFromText="180" w:vertAnchor="text" w:horzAnchor="page" w:tblpX="1783" w:tblpY="194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 xml:space="preserve"> 六、专业名词解释</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right="0" w:firstLine="640" w:firstLineChars="200"/>
        <w:textAlignment w:val="auto"/>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七、决算公开联系方式及信息反馈渠道</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highlight w:val="none"/>
          <w:lang w:val="en-US" w:eastAsia="zh-CN"/>
        </w:rPr>
      </w:pPr>
      <w:r>
        <w:rPr>
          <w:rFonts w:hint="eastAsia" w:ascii="Times New Roman" w:hAnsi="Times New Roman" w:eastAsia="方正仿宋_GBK" w:cs="Times New Roman"/>
          <w:b w:val="0"/>
          <w:bCs w:val="0"/>
          <w:sz w:val="32"/>
          <w:szCs w:val="32"/>
          <w:highlight w:val="none"/>
          <w:shd w:val="clear" w:color="auto" w:fill="FFFFFF"/>
          <w:lang w:eastAsia="zh-CN"/>
        </w:rPr>
        <w:t>白江</w:t>
      </w:r>
      <w:r>
        <w:rPr>
          <w:rFonts w:hint="eastAsia" w:ascii="Times New Roman" w:hAnsi="Times New Roman" w:eastAsia="方正仿宋_GBK" w:cs="Times New Roman"/>
          <w:b w:val="0"/>
          <w:bCs w:val="0"/>
          <w:sz w:val="32"/>
          <w:szCs w:val="32"/>
          <w:highlight w:val="none"/>
          <w:shd w:val="clear" w:color="auto" w:fill="FFFFFF"/>
          <w:lang w:val="en-US" w:eastAsia="zh-CN"/>
        </w:rPr>
        <w:t xml:space="preserve">  </w:t>
      </w:r>
      <w:r>
        <w:rPr>
          <w:rFonts w:hint="default" w:ascii="Times New Roman" w:hAnsi="Times New Roman" w:eastAsia="方正仿宋_GBK" w:cs="Times New Roman"/>
          <w:b w:val="0"/>
          <w:bCs w:val="0"/>
          <w:sz w:val="32"/>
          <w:szCs w:val="32"/>
          <w:highlight w:val="none"/>
          <w:shd w:val="clear" w:color="auto" w:fill="FFFFFF"/>
          <w:lang w:val="en-US" w:eastAsia="zh-CN"/>
        </w:rPr>
        <w:t>023-76612118</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right="0" w:firstLine="640" w:firstLineChars="200"/>
        <w:textAlignment w:val="auto"/>
        <w:rPr>
          <w:rStyle w:val="12"/>
          <w:rFonts w:hint="default" w:ascii="Times New Roman" w:hAnsi="Times New Roman" w:eastAsia="方正仿宋_GBK" w:cs="Times New Roman"/>
          <w:b w:val="0"/>
          <w:bCs w:val="0"/>
          <w:sz w:val="32"/>
          <w:szCs w:val="32"/>
          <w:highlight w:val="none"/>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重庆市秀山土家族苗族自治县龙凤坝镇卫生院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139.82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14.56</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0.01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19.07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119.51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145.32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9.06</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重庆市秀山土家族苗族自治县龙凤坝镇卫生院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154.38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139.82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14.56</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128.57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114.01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14.56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114.33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99.76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14.56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114.33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99.76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14.56</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0.01</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tbl>
      <w:tblPr>
        <w:tblStyle w:val="13"/>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重庆市秀山土家族苗族自治县龙凤坝镇卫生院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119.51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119.51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105.26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105.26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105.26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105.26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pPr>
        <w:rPr>
          <w:rFonts w:hint="default" w:cs="宋体"/>
          <w:sz w:val="21"/>
          <w:szCs w:val="21"/>
        </w:rPr>
      </w:pPr>
    </w:p>
    <w:tbl>
      <w:tblPr>
        <w:tblStyle w:val="13"/>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19.07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19.07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104.94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104.94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130.76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130.76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104.94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104.94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90.70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90.70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9.60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9.60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9.60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9.60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4.64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4.64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6.74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6.74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123.47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63.90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4.13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4.64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6.62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220A0AE-D5F6-47DE-A84F-571BC1C913F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86738331-81E2-4329-A259-7FAA89706C95}"/>
  </w:font>
  <w:font w:name="方正仿宋_GBK">
    <w:panose1 w:val="03000509000000000000"/>
    <w:charset w:val="86"/>
    <w:family w:val="auto"/>
    <w:pitch w:val="default"/>
    <w:sig w:usb0="00000001" w:usb1="080E0000" w:usb2="00000000" w:usb3="00000000" w:csb0="00040000" w:csb1="00000000"/>
    <w:embedRegular r:id="rId3" w:fontKey="{5A3FE2AE-9682-4689-A9BA-64E45210DA2D}"/>
  </w:font>
  <w:font w:name="方正黑体_GBK">
    <w:panose1 w:val="03000509000000000000"/>
    <w:charset w:val="86"/>
    <w:family w:val="auto"/>
    <w:pitch w:val="default"/>
    <w:sig w:usb0="00000001" w:usb1="080E0000" w:usb2="00000000" w:usb3="00000000" w:csb0="00040000" w:csb1="00000000"/>
    <w:embedRegular r:id="rId4" w:fontKey="{C608FE2F-287A-4A58-8FD6-8736F2FDC634}"/>
  </w:font>
  <w:font w:name="方正楷体_GBK">
    <w:panose1 w:val="03000509000000000000"/>
    <w:charset w:val="86"/>
    <w:family w:val="auto"/>
    <w:pitch w:val="default"/>
    <w:sig w:usb0="00000001" w:usb1="080E0000" w:usb2="00000000" w:usb3="00000000" w:csb0="00040000" w:csb1="00000000"/>
    <w:embedRegular r:id="rId5" w:fontKey="{56C9A7C1-C736-4C16-80DB-CC677997FD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C5339A02"/>
    <w:multiLevelType w:val="singleLevel"/>
    <w:tmpl w:val="C5339A02"/>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cb430e82-639d-4434-98d8-c53ec0343e59"/>
  </w:docVars>
  <w:rsids>
    <w:rsidRoot w:val="00B03CCD"/>
    <w:rsid w:val="002B254B"/>
    <w:rsid w:val="00550ABE"/>
    <w:rsid w:val="00770383"/>
    <w:rsid w:val="007819D4"/>
    <w:rsid w:val="007B419D"/>
    <w:rsid w:val="009B67B8"/>
    <w:rsid w:val="009D2B67"/>
    <w:rsid w:val="00B03CCD"/>
    <w:rsid w:val="00C20C3E"/>
    <w:rsid w:val="00F73F90"/>
    <w:rsid w:val="01474EBF"/>
    <w:rsid w:val="01B85823"/>
    <w:rsid w:val="01F3521E"/>
    <w:rsid w:val="022B1ABD"/>
    <w:rsid w:val="03571EA4"/>
    <w:rsid w:val="037C35F2"/>
    <w:rsid w:val="03B87EA0"/>
    <w:rsid w:val="03E3214F"/>
    <w:rsid w:val="044C50BA"/>
    <w:rsid w:val="05B83BE6"/>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14247A"/>
    <w:rsid w:val="0E3A5F83"/>
    <w:rsid w:val="0F6E4136"/>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897465"/>
    <w:rsid w:val="159B2A8A"/>
    <w:rsid w:val="163A6CEE"/>
    <w:rsid w:val="173708E3"/>
    <w:rsid w:val="177F3671"/>
    <w:rsid w:val="1796765E"/>
    <w:rsid w:val="17C374FC"/>
    <w:rsid w:val="17F46DE4"/>
    <w:rsid w:val="182E4AB6"/>
    <w:rsid w:val="186B0371"/>
    <w:rsid w:val="189079DC"/>
    <w:rsid w:val="189B0D0B"/>
    <w:rsid w:val="18B43F7C"/>
    <w:rsid w:val="18ED7539"/>
    <w:rsid w:val="194A1770"/>
    <w:rsid w:val="19B906A4"/>
    <w:rsid w:val="19C53F92"/>
    <w:rsid w:val="1B6F15B6"/>
    <w:rsid w:val="1B7D570A"/>
    <w:rsid w:val="1BAA2EDC"/>
    <w:rsid w:val="1CA55E64"/>
    <w:rsid w:val="1CF572D8"/>
    <w:rsid w:val="1D014A01"/>
    <w:rsid w:val="1D022362"/>
    <w:rsid w:val="1D1B04B0"/>
    <w:rsid w:val="1D216DE3"/>
    <w:rsid w:val="1DA52501"/>
    <w:rsid w:val="1DBD6767"/>
    <w:rsid w:val="1DC52125"/>
    <w:rsid w:val="1DD26311"/>
    <w:rsid w:val="1E374ACB"/>
    <w:rsid w:val="1ECF0A66"/>
    <w:rsid w:val="1EF67CA4"/>
    <w:rsid w:val="1F020D3A"/>
    <w:rsid w:val="1F2C5189"/>
    <w:rsid w:val="1F4B0B02"/>
    <w:rsid w:val="1F7D30E2"/>
    <w:rsid w:val="1FBB35CD"/>
    <w:rsid w:val="1FCD26AF"/>
    <w:rsid w:val="20626B78"/>
    <w:rsid w:val="20642787"/>
    <w:rsid w:val="21556F04"/>
    <w:rsid w:val="22403BD3"/>
    <w:rsid w:val="24B92327"/>
    <w:rsid w:val="24C14514"/>
    <w:rsid w:val="2533755C"/>
    <w:rsid w:val="25791755"/>
    <w:rsid w:val="26396DF4"/>
    <w:rsid w:val="27167136"/>
    <w:rsid w:val="271B442C"/>
    <w:rsid w:val="27895B59"/>
    <w:rsid w:val="27B23302"/>
    <w:rsid w:val="29310A5F"/>
    <w:rsid w:val="2969595B"/>
    <w:rsid w:val="29C37A35"/>
    <w:rsid w:val="2A076083"/>
    <w:rsid w:val="2A73162E"/>
    <w:rsid w:val="2B167953"/>
    <w:rsid w:val="2B200583"/>
    <w:rsid w:val="2B8209DE"/>
    <w:rsid w:val="2C636760"/>
    <w:rsid w:val="2C6762A3"/>
    <w:rsid w:val="2EC0789A"/>
    <w:rsid w:val="2FCA4B37"/>
    <w:rsid w:val="2FE029D7"/>
    <w:rsid w:val="2FF06E00"/>
    <w:rsid w:val="2FF45527"/>
    <w:rsid w:val="30586FEC"/>
    <w:rsid w:val="30CB76E0"/>
    <w:rsid w:val="315F0B22"/>
    <w:rsid w:val="31D84415"/>
    <w:rsid w:val="32285F6F"/>
    <w:rsid w:val="32770556"/>
    <w:rsid w:val="329C0913"/>
    <w:rsid w:val="32AA0460"/>
    <w:rsid w:val="3337290D"/>
    <w:rsid w:val="33E31118"/>
    <w:rsid w:val="33EF7674"/>
    <w:rsid w:val="342D7BC6"/>
    <w:rsid w:val="34E873B2"/>
    <w:rsid w:val="352930DB"/>
    <w:rsid w:val="35573069"/>
    <w:rsid w:val="355F6038"/>
    <w:rsid w:val="358C217E"/>
    <w:rsid w:val="35B92531"/>
    <w:rsid w:val="36C9128A"/>
    <w:rsid w:val="37841E99"/>
    <w:rsid w:val="37B03D32"/>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BC9672E"/>
    <w:rsid w:val="3C566AD6"/>
    <w:rsid w:val="3C594871"/>
    <w:rsid w:val="3C6A5B02"/>
    <w:rsid w:val="3D2757A1"/>
    <w:rsid w:val="3D3D4FC4"/>
    <w:rsid w:val="3DDF3AB1"/>
    <w:rsid w:val="3E1D0952"/>
    <w:rsid w:val="3E271B90"/>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3E3FCF"/>
    <w:rsid w:val="45CB699A"/>
    <w:rsid w:val="465B470D"/>
    <w:rsid w:val="469D6AD4"/>
    <w:rsid w:val="46ED2CEF"/>
    <w:rsid w:val="471E6C84"/>
    <w:rsid w:val="4748792B"/>
    <w:rsid w:val="475D719D"/>
    <w:rsid w:val="47674801"/>
    <w:rsid w:val="48225EF7"/>
    <w:rsid w:val="488F422B"/>
    <w:rsid w:val="48E36915"/>
    <w:rsid w:val="48EB6572"/>
    <w:rsid w:val="495C4A24"/>
    <w:rsid w:val="495F07B0"/>
    <w:rsid w:val="497135DF"/>
    <w:rsid w:val="4A263DF2"/>
    <w:rsid w:val="4A6F6675"/>
    <w:rsid w:val="4A871007"/>
    <w:rsid w:val="4B135857"/>
    <w:rsid w:val="4B78163E"/>
    <w:rsid w:val="4B7951CB"/>
    <w:rsid w:val="4B7C315C"/>
    <w:rsid w:val="4DAC4ACA"/>
    <w:rsid w:val="4DBE01D2"/>
    <w:rsid w:val="4E051ADE"/>
    <w:rsid w:val="4F0C6BA3"/>
    <w:rsid w:val="4F186D58"/>
    <w:rsid w:val="50F06B6E"/>
    <w:rsid w:val="51051862"/>
    <w:rsid w:val="51D21804"/>
    <w:rsid w:val="52234D33"/>
    <w:rsid w:val="522F6E0C"/>
    <w:rsid w:val="52463BA1"/>
    <w:rsid w:val="524B165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B68A7"/>
    <w:rsid w:val="56530F5D"/>
    <w:rsid w:val="567700D3"/>
    <w:rsid w:val="56FF7E9E"/>
    <w:rsid w:val="5710464C"/>
    <w:rsid w:val="578511D8"/>
    <w:rsid w:val="578867FC"/>
    <w:rsid w:val="5842572D"/>
    <w:rsid w:val="59D73990"/>
    <w:rsid w:val="5A3B59D6"/>
    <w:rsid w:val="5AD134D8"/>
    <w:rsid w:val="5AD51448"/>
    <w:rsid w:val="5C263CE4"/>
    <w:rsid w:val="5C5D2777"/>
    <w:rsid w:val="5CF66BF3"/>
    <w:rsid w:val="5D290C69"/>
    <w:rsid w:val="5F2D4A41"/>
    <w:rsid w:val="60C74F6C"/>
    <w:rsid w:val="60F9710D"/>
    <w:rsid w:val="61025A59"/>
    <w:rsid w:val="613D5BBC"/>
    <w:rsid w:val="61536C39"/>
    <w:rsid w:val="61AE2563"/>
    <w:rsid w:val="62944DD7"/>
    <w:rsid w:val="6319381F"/>
    <w:rsid w:val="63C25DC5"/>
    <w:rsid w:val="63C62057"/>
    <w:rsid w:val="64571EF5"/>
    <w:rsid w:val="64E90C62"/>
    <w:rsid w:val="64FB113D"/>
    <w:rsid w:val="656152C6"/>
    <w:rsid w:val="6587477F"/>
    <w:rsid w:val="658C3A08"/>
    <w:rsid w:val="65C031CA"/>
    <w:rsid w:val="65CE6852"/>
    <w:rsid w:val="66267C04"/>
    <w:rsid w:val="663F505A"/>
    <w:rsid w:val="66EE5541"/>
    <w:rsid w:val="66EF6A80"/>
    <w:rsid w:val="67924660"/>
    <w:rsid w:val="67FB0754"/>
    <w:rsid w:val="68407834"/>
    <w:rsid w:val="6883293E"/>
    <w:rsid w:val="688412AD"/>
    <w:rsid w:val="68EB1B71"/>
    <w:rsid w:val="6A09156C"/>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D06A28"/>
    <w:rsid w:val="7C3A7C0B"/>
    <w:rsid w:val="7C5248E4"/>
    <w:rsid w:val="7C566698"/>
    <w:rsid w:val="7C5866A3"/>
    <w:rsid w:val="7D6513F2"/>
    <w:rsid w:val="7D7406BB"/>
    <w:rsid w:val="7D7B38D6"/>
    <w:rsid w:val="7DE94331"/>
    <w:rsid w:val="7E202625"/>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5">
    <w:name w:val="Body Text First Indent"/>
    <w:basedOn w:val="2"/>
    <w:qFormat/>
    <w:uiPriority w:val="0"/>
    <w:pPr>
      <w:ind w:firstLine="420" w:firstLineChars="1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0">
    <w:name w:val="Normal (Web)"/>
    <w:basedOn w:val="1"/>
    <w:unhideWhenUsed/>
    <w:qFormat/>
    <w:uiPriority w:val="0"/>
    <w:pPr>
      <w:spacing w:before="100" w:beforeAutospacing="1" w:after="100" w:afterAutospacing="1"/>
    </w:p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1"/>
    <w:link w:val="6"/>
    <w:qFormat/>
    <w:uiPriority w:val="0"/>
    <w:rPr>
      <w:rFonts w:ascii="宋体" w:hAnsi="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8373</Words>
  <Characters>9990</Characters>
  <Lines>190</Lines>
  <Paragraphs>53</Paragraphs>
  <TotalTime>1</TotalTime>
  <ScaleCrop>false</ScaleCrop>
  <LinksUpToDate>false</LinksUpToDate>
  <CharactersWithSpaces>11009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2026-03-19T02:12:51Z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0D0381053F8E41CEADCD44E355B12F00</vt:lpwstr>
  </property>
</Properties>
</file>