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beforeAutospacing="0" w:line="560" w:lineRule="exact"/>
        <w:jc w:val="center"/>
        <w:textAlignment w:val="auto"/>
        <w:rPr>
          <w:rFonts w:hint="eastAsia" w:ascii="方正小标宋_GBK" w:hAnsi="Times New Roman" w:eastAsia="方正小标宋_GBK"/>
          <w:b/>
          <w:sz w:val="44"/>
          <w:szCs w:val="44"/>
        </w:rPr>
      </w:pPr>
      <w:r>
        <w:rPr>
          <w:rFonts w:hint="eastAsia" w:ascii="方正小标宋_GBK" w:hAnsi="方正小标宋_GBK" w:eastAsia="方正小标宋_GBK" w:cs="方正小标宋_GBK"/>
          <w:sz w:val="44"/>
          <w:szCs w:val="44"/>
        </w:rPr>
        <w:t>重庆市秀山土家族苗族自治县溪口镇卫生院</w:t>
      </w:r>
      <w:r>
        <w:rPr>
          <w:rFonts w:hint="eastAsia" w:ascii="方正小标宋_GBK" w:hAnsi="方正小标宋_GBK" w:eastAsia="方正小标宋_GBK" w:cs="方正小标宋_GBK"/>
          <w:sz w:val="44"/>
          <w:szCs w:val="44"/>
          <w:shd w:val="clear" w:color="auto" w:fill="FFFFFF"/>
        </w:rPr>
        <w:t>2023年度决算公开说明</w:t>
      </w: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一、单位基本情况</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（一）职能职责</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本单位属基层医疗卫生机构，为非营利性医疗机构，应当为居民提供基本医疗和基本公共卫生服务。基层医疗卫生机构应当使用与其能力相适应的技术、设</w:t>
      </w:r>
      <w:r>
        <w:rPr>
          <w:rFonts w:hint="default" w:ascii="Times New Roman" w:hAnsi="Times New Roman" w:eastAsia="方正仿宋_GBK" w:cs="Times New Roman"/>
          <w:kern w:val="0"/>
          <w:sz w:val="32"/>
          <w:szCs w:val="32"/>
        </w:rPr>
        <w:t>备和药物，按照规范诊疗程序开展常见病、多发病的诊疗和部分疾病的康复、护理，提供中医药诊疗、双向转诊、现场急诊急救等医疗服务。本单位为乡镇卫生院，应当履行以下公共卫生职责：</w:t>
      </w:r>
    </w:p>
    <w:p>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1.根据国家和本市规定收集、报送辖区内卫生健康信息，建立和管理居民健康档案，提出改进辖区公共卫生状况的建议；</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2.开展健康教育，普及健康知识；</w:t>
      </w:r>
    </w:p>
    <w:p>
      <w:pPr>
        <w:pStyle w:val="2"/>
        <w:keepNext w:val="0"/>
        <w:keepLines w:val="0"/>
        <w:pageBreakBefore w:val="0"/>
        <w:widowControl/>
        <w:kinsoku/>
        <w:wordWrap/>
        <w:overflowPunct/>
        <w:autoSpaceDE w:val="0"/>
        <w:autoSpaceDN/>
        <w:bidi w:val="0"/>
        <w:adjustRightInd/>
        <w:snapToGrid/>
        <w:spacing w:before="42"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3.协助开展传染病以及地方病、寄生虫病的预防控制， 配合开展爱国卫生工作；</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4.做好高危人群、重点慢性病患者的筛查和病例管理；</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5.提供心理健康指导服务，实施精神病社区管理；</w:t>
      </w:r>
    </w:p>
    <w:p>
      <w:pPr>
        <w:pStyle w:val="2"/>
        <w:keepNext w:val="0"/>
        <w:keepLines w:val="0"/>
        <w:pageBreakBefore w:val="0"/>
        <w:widowControl/>
        <w:kinsoku/>
        <w:wordWrap/>
        <w:overflowPunct/>
        <w:autoSpaceDE w:val="0"/>
        <w:autoSpaceDN/>
        <w:bidi w:val="0"/>
        <w:adjustRightInd/>
        <w:snapToGrid/>
        <w:spacing w:before="42"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6.为妇女、儿童、老年人、残疾人等重点人群提供保健和康复服务；</w:t>
      </w:r>
    </w:p>
    <w:p>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7.提供计划生育技术服务，协助处置辖区内突发公共卫生事件等；</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8.按要求提供其他公共卫生服务。</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本单位下设办公室、财务科、医务科、门诊</w:t>
      </w:r>
      <w:r>
        <w:rPr>
          <w:rFonts w:hint="eastAsia" w:ascii="Times New Roman" w:hAnsi="Times New Roman" w:eastAsia="方正仿宋_GBK" w:cs="Times New Roman"/>
          <w:kern w:val="0"/>
          <w:sz w:val="32"/>
          <w:szCs w:val="32"/>
          <w:lang w:val="en-US" w:eastAsia="zh-CN"/>
        </w:rPr>
        <w:t>部</w:t>
      </w:r>
      <w:r>
        <w:rPr>
          <w:rFonts w:hint="default" w:ascii="Times New Roman" w:hAnsi="Times New Roman" w:eastAsia="方正仿宋_GBK" w:cs="Times New Roman"/>
          <w:kern w:val="0"/>
          <w:sz w:val="32"/>
          <w:szCs w:val="32"/>
        </w:rPr>
        <w:t>、中医康复理疗科、医技科、药房、收费室、</w:t>
      </w:r>
      <w:r>
        <w:rPr>
          <w:rFonts w:hint="eastAsia" w:ascii="Times New Roman" w:hAnsi="Times New Roman" w:eastAsia="方正仿宋_GBK" w:cs="Times New Roman"/>
          <w:kern w:val="0"/>
          <w:sz w:val="32"/>
          <w:szCs w:val="32"/>
          <w:lang w:val="en-US" w:eastAsia="zh-CN"/>
        </w:rPr>
        <w:t>临床综合科</w:t>
      </w:r>
      <w:r>
        <w:rPr>
          <w:rFonts w:hint="default" w:ascii="Times New Roman" w:hAnsi="Times New Roman" w:eastAsia="方正仿宋_GBK" w:cs="Times New Roman"/>
          <w:kern w:val="0"/>
          <w:sz w:val="32"/>
          <w:szCs w:val="32"/>
        </w:rPr>
        <w:t>。</w:t>
      </w: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w:t>
      </w:r>
      <w:r>
        <w:rPr>
          <w:rFonts w:hint="eastAsia" w:ascii="Times New Roman" w:hAnsi="Times New Roman" w:eastAsia="方正黑体_GBK" w:cs="Times New Roman"/>
          <w:sz w:val="32"/>
          <w:szCs w:val="32"/>
          <w:lang w:eastAsia="zh-CN"/>
        </w:rPr>
        <w:t>单位</w:t>
      </w:r>
      <w:r>
        <w:rPr>
          <w:rFonts w:hint="default" w:ascii="Times New Roman" w:hAnsi="Times New Roman" w:eastAsia="方正黑体_GBK" w:cs="Times New Roman"/>
          <w:sz w:val="32"/>
          <w:szCs w:val="32"/>
        </w:rPr>
        <w:t>决算情况说明</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rPr>
      </w:pPr>
      <w:r>
        <w:rPr>
          <w:rStyle w:val="21"/>
          <w:rFonts w:hint="default" w:ascii="Times New Roman" w:hAnsi="Times New Roman" w:eastAsia="方正仿宋_GBK" w:cs="Times New Roman"/>
          <w:b/>
          <w:bCs w:val="0"/>
          <w:kern w:val="0"/>
          <w:sz w:val="32"/>
          <w:szCs w:val="32"/>
          <w:shd w:val="clear" w:color="auto" w:fill="FFFFFF"/>
          <w:lang w:bidi="ar"/>
        </w:rPr>
        <w:t>1.总体情况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万元，支出总计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万元。收支较上年决算数增加</w:t>
      </w:r>
      <w:r>
        <w:rPr>
          <w:rFonts w:hint="default" w:ascii="Times New Roman" w:hAnsi="Times New Roman" w:eastAsia="方正仿宋_GBK" w:cs="Times New Roman"/>
          <w:bCs/>
          <w:kern w:val="0"/>
          <w:sz w:val="32"/>
          <w:szCs w:val="32"/>
          <w:lang w:val="en-US" w:eastAsia="zh-CN"/>
        </w:rPr>
        <w:t>93</w:t>
      </w:r>
      <w:r>
        <w:rPr>
          <w:rFonts w:hint="default" w:ascii="Times New Roman" w:hAnsi="Times New Roman" w:eastAsia="方正仿宋_GBK" w:cs="Times New Roman"/>
          <w:bCs/>
          <w:kern w:val="0"/>
          <w:sz w:val="32"/>
          <w:szCs w:val="32"/>
        </w:rPr>
        <w:t>万元、增加</w:t>
      </w:r>
      <w:r>
        <w:rPr>
          <w:rFonts w:hint="default" w:ascii="Times New Roman" w:hAnsi="Times New Roman" w:eastAsia="方正仿宋_GBK" w:cs="Times New Roman"/>
          <w:bCs/>
          <w:kern w:val="0"/>
          <w:sz w:val="32"/>
          <w:szCs w:val="32"/>
          <w:lang w:val="en-US" w:eastAsia="zh-CN"/>
        </w:rPr>
        <w:t>19.82</w:t>
      </w:r>
      <w:r>
        <w:rPr>
          <w:rFonts w:hint="default" w:ascii="Times New Roman" w:hAnsi="Times New Roman" w:eastAsia="方正仿宋_GBK" w:cs="Times New Roman"/>
          <w:bCs/>
          <w:kern w:val="0"/>
          <w:sz w:val="32"/>
          <w:szCs w:val="32"/>
        </w:rPr>
        <w:t>%，主要原因是本单位2023年度事业收入增加及财政拨款收入增加。</w:t>
      </w:r>
    </w:p>
    <w:p>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shd w:val="clear" w:color="auto" w:fill="FFFFFF"/>
        </w:rPr>
      </w:pPr>
      <w:r>
        <w:rPr>
          <w:rStyle w:val="21"/>
          <w:rFonts w:hint="default" w:ascii="Times New Roman" w:hAnsi="Times New Roman" w:eastAsia="方正仿宋_GBK" w:cs="Times New Roman"/>
          <w:b/>
          <w:bCs w:val="0"/>
          <w:kern w:val="0"/>
          <w:sz w:val="32"/>
          <w:szCs w:val="32"/>
          <w:shd w:val="clear" w:color="auto" w:fill="FFFFFF"/>
          <w:lang w:bidi="ar"/>
        </w:rPr>
        <w:t>2.收入情况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2023年度收入合计</w:t>
      </w:r>
      <w:r>
        <w:rPr>
          <w:rFonts w:hint="default" w:ascii="Times New Roman" w:hAnsi="Times New Roman" w:eastAsia="方正仿宋_GBK" w:cs="Times New Roman"/>
          <w:sz w:val="32"/>
          <w:szCs w:val="32"/>
        </w:rPr>
        <w:t>561.3</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bCs/>
          <w:kern w:val="0"/>
          <w:sz w:val="32"/>
          <w:szCs w:val="32"/>
        </w:rPr>
        <w:t>万元，较上年</w:t>
      </w:r>
      <w:r>
        <w:rPr>
          <w:rFonts w:hint="default" w:ascii="Times New Roman" w:hAnsi="Times New Roman" w:eastAsia="方正仿宋_GBK" w:cs="Times New Roman"/>
          <w:bCs/>
          <w:kern w:val="0"/>
          <w:sz w:val="32"/>
          <w:szCs w:val="32"/>
          <w:shd w:val="clear" w:color="auto" w:fill="FFFFFF"/>
        </w:rPr>
        <w:t>决算数</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99.84</w:t>
      </w:r>
      <w:r>
        <w:rPr>
          <w:rFonts w:hint="default" w:ascii="Times New Roman" w:hAnsi="Times New Roman" w:eastAsia="方正仿宋_GBK" w:cs="Times New Roman"/>
          <w:bCs/>
          <w:kern w:val="0"/>
          <w:sz w:val="32"/>
          <w:szCs w:val="32"/>
          <w:shd w:val="clear" w:color="auto" w:fill="FFFFFF"/>
        </w:rPr>
        <w:t>万元，</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21.63</w:t>
      </w:r>
      <w:r>
        <w:rPr>
          <w:rFonts w:hint="default" w:ascii="Times New Roman" w:hAnsi="Times New Roman" w:eastAsia="方正仿宋_GBK" w:cs="Times New Roman"/>
          <w:bCs/>
          <w:kern w:val="0"/>
          <w:sz w:val="32"/>
          <w:szCs w:val="32"/>
        </w:rPr>
        <w:t>%</w:t>
      </w:r>
      <w:r>
        <w:rPr>
          <w:rFonts w:hint="default" w:ascii="Times New Roman" w:hAnsi="Times New Roman" w:eastAsia="方正仿宋_GBK" w:cs="Times New Roman"/>
          <w:bCs/>
          <w:kern w:val="0"/>
          <w:sz w:val="32"/>
          <w:szCs w:val="32"/>
          <w:shd w:val="clear" w:color="auto" w:fill="FFFFFF"/>
        </w:rPr>
        <w:t>，</w:t>
      </w:r>
      <w:r>
        <w:rPr>
          <w:rFonts w:hint="default" w:ascii="Times New Roman" w:hAnsi="Times New Roman" w:eastAsia="方正仿宋_GBK" w:cs="Times New Roman"/>
          <w:bCs/>
          <w:kern w:val="0"/>
          <w:sz w:val="32"/>
          <w:szCs w:val="32"/>
        </w:rPr>
        <w:t>主要原因是2023年度事业收入及财政拨款收入增加。</w:t>
      </w:r>
      <w:r>
        <w:rPr>
          <w:rFonts w:hint="default" w:ascii="Times New Roman" w:hAnsi="Times New Roman" w:eastAsia="方正仿宋_GBK" w:cs="Times New Roman"/>
          <w:bCs/>
          <w:kern w:val="0"/>
          <w:sz w:val="32"/>
          <w:szCs w:val="32"/>
          <w:shd w:val="clear" w:color="auto" w:fill="FFFFFF"/>
        </w:rPr>
        <w:t>其中：财政拨款收入</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bCs/>
          <w:kern w:val="0"/>
          <w:sz w:val="32"/>
          <w:szCs w:val="32"/>
          <w:shd w:val="clear" w:color="auto" w:fill="FFFFFF"/>
        </w:rPr>
        <w:t>万元，占55.31%；事业收入</w:t>
      </w:r>
      <w:r>
        <w:rPr>
          <w:rFonts w:hint="default" w:ascii="Times New Roman" w:hAnsi="Times New Roman" w:eastAsia="方正仿宋_GBK" w:cs="Times New Roman"/>
          <w:sz w:val="32"/>
          <w:szCs w:val="32"/>
        </w:rPr>
        <w:t>230.89</w:t>
      </w:r>
      <w:r>
        <w:rPr>
          <w:rFonts w:hint="default" w:ascii="Times New Roman" w:hAnsi="Times New Roman" w:eastAsia="方正仿宋_GBK" w:cs="Times New Roman"/>
          <w:bCs/>
          <w:kern w:val="0"/>
          <w:sz w:val="32"/>
          <w:szCs w:val="32"/>
          <w:shd w:val="clear" w:color="auto" w:fill="FFFFFF"/>
        </w:rPr>
        <w:t>万元，占41.1</w:t>
      </w:r>
      <w:r>
        <w:rPr>
          <w:rFonts w:hint="default" w:ascii="Times New Roman" w:hAnsi="Times New Roman" w:eastAsia="方正仿宋_GBK" w:cs="Times New Roman"/>
          <w:bCs/>
          <w:kern w:val="0"/>
          <w:sz w:val="32"/>
          <w:szCs w:val="32"/>
          <w:shd w:val="clear" w:color="auto" w:fill="FFFFFF"/>
          <w:lang w:val="en-US" w:eastAsia="zh-CN"/>
        </w:rPr>
        <w:t>4</w:t>
      </w:r>
      <w:r>
        <w:rPr>
          <w:rFonts w:hint="default" w:ascii="Times New Roman" w:hAnsi="Times New Roman" w:eastAsia="方正仿宋_GBK" w:cs="Times New Roman"/>
          <w:bCs/>
          <w:kern w:val="0"/>
          <w:sz w:val="32"/>
          <w:szCs w:val="32"/>
          <w:shd w:val="clear" w:color="auto" w:fill="FFFFFF"/>
        </w:rPr>
        <w:t>%；经营收入0.00万元，占0%；其他收入</w:t>
      </w:r>
      <w:r>
        <w:rPr>
          <w:rFonts w:hint="default" w:ascii="Times New Roman" w:hAnsi="Times New Roman" w:eastAsia="方正仿宋_GBK" w:cs="Times New Roman"/>
          <w:sz w:val="32"/>
          <w:szCs w:val="32"/>
        </w:rPr>
        <w:t>19.94</w:t>
      </w:r>
      <w:r>
        <w:rPr>
          <w:rFonts w:hint="default" w:ascii="Times New Roman" w:hAnsi="Times New Roman" w:eastAsia="方正仿宋_GBK" w:cs="Times New Roman"/>
          <w:bCs/>
          <w:kern w:val="0"/>
          <w:sz w:val="32"/>
          <w:szCs w:val="32"/>
          <w:shd w:val="clear" w:color="auto" w:fill="FFFFFF"/>
        </w:rPr>
        <w:t>万元，占3.55%。此外，使用非财政拨款结余0.00万元，年初结转和结余</w:t>
      </w:r>
      <w:r>
        <w:rPr>
          <w:rFonts w:hint="default" w:ascii="Times New Roman" w:hAnsi="Times New Roman" w:eastAsia="方正仿宋_GBK" w:cs="Times New Roman"/>
          <w:sz w:val="32"/>
          <w:szCs w:val="32"/>
          <w:lang w:val="en-US" w:eastAsia="zh-CN"/>
        </w:rPr>
        <w:t>0.92</w:t>
      </w:r>
      <w:r>
        <w:rPr>
          <w:rFonts w:hint="default" w:ascii="Times New Roman" w:hAnsi="Times New Roman" w:eastAsia="方正仿宋_GBK" w:cs="Times New Roman"/>
          <w:bCs/>
          <w:kern w:val="0"/>
          <w:sz w:val="32"/>
          <w:szCs w:val="32"/>
          <w:shd w:val="clear" w:color="auto" w:fill="FFFFFF"/>
        </w:rPr>
        <w:t>万元。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3.支出情况</w:t>
      </w:r>
      <w:r>
        <w:rPr>
          <w:rStyle w:val="21"/>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Cs/>
          <w:sz w:val="32"/>
          <w:szCs w:val="32"/>
          <w:shd w:val="clear" w:color="auto" w:fill="FFFFFF"/>
        </w:rPr>
        <w:t>2023年度支出合计</w:t>
      </w:r>
      <w:r>
        <w:rPr>
          <w:rFonts w:hint="eastAsia" w:ascii="Times New Roman" w:hAnsi="Times New Roman" w:eastAsia="方正仿宋_GBK" w:cs="Times New Roman"/>
          <w:sz w:val="32"/>
          <w:szCs w:val="32"/>
          <w:lang w:val="en-US" w:eastAsia="zh-CN"/>
        </w:rPr>
        <w:t>547.88</w:t>
      </w:r>
      <w:r>
        <w:rPr>
          <w:rFonts w:hint="default" w:ascii="Times New Roman" w:hAnsi="Times New Roman" w:eastAsia="方正仿宋_GBK" w:cs="Times New Roman"/>
          <w:bCs/>
          <w:sz w:val="32"/>
          <w:szCs w:val="32"/>
          <w:shd w:val="clear" w:color="auto" w:fill="FFFFFF"/>
        </w:rPr>
        <w:t>万元，较上年决算数增加</w:t>
      </w:r>
      <w:r>
        <w:rPr>
          <w:rFonts w:hint="eastAsia" w:ascii="Times New Roman" w:hAnsi="Times New Roman" w:eastAsia="方正仿宋_GBK" w:cs="Times New Roman"/>
          <w:bCs/>
          <w:sz w:val="32"/>
          <w:szCs w:val="32"/>
          <w:shd w:val="clear" w:color="auto" w:fill="FFFFFF"/>
          <w:lang w:val="en-US" w:eastAsia="zh-CN"/>
        </w:rPr>
        <w:t>78.65</w:t>
      </w:r>
      <w:r>
        <w:rPr>
          <w:rFonts w:hint="default" w:ascii="Times New Roman" w:hAnsi="Times New Roman" w:eastAsia="方正仿宋_GBK" w:cs="Times New Roman"/>
          <w:bCs/>
          <w:sz w:val="32"/>
          <w:szCs w:val="32"/>
          <w:shd w:val="clear" w:color="auto" w:fill="FFFFFF"/>
        </w:rPr>
        <w:t>万元，增加</w:t>
      </w:r>
      <w:r>
        <w:rPr>
          <w:rFonts w:hint="eastAsia" w:ascii="Times New Roman" w:hAnsi="Times New Roman" w:eastAsia="方正仿宋_GBK" w:cs="Times New Roman"/>
          <w:bCs/>
          <w:sz w:val="32"/>
          <w:szCs w:val="32"/>
          <w:shd w:val="clear" w:color="auto" w:fill="FFFFFF"/>
          <w:lang w:val="en-US" w:eastAsia="zh-CN"/>
        </w:rPr>
        <w:t>16.76</w:t>
      </w:r>
      <w:r>
        <w:rPr>
          <w:rFonts w:hint="default" w:ascii="Times New Roman" w:hAnsi="Times New Roman" w:eastAsia="方正仿宋_GBK" w:cs="Times New Roman"/>
          <w:bCs/>
          <w:sz w:val="32"/>
          <w:szCs w:val="32"/>
          <w:shd w:val="clear" w:color="auto" w:fill="FFFFFF"/>
        </w:rPr>
        <w:t>%，主要原因是</w:t>
      </w:r>
      <w:r>
        <w:rPr>
          <w:rFonts w:hint="default" w:ascii="Times New Roman" w:hAnsi="Times New Roman" w:eastAsia="方正仿宋_GBK" w:cs="Times New Roman"/>
          <w:bCs/>
          <w:sz w:val="32"/>
          <w:szCs w:val="32"/>
        </w:rPr>
        <w:t>医疗支出中药品、耗材、人员工资、办公等支出增幅增加。</w:t>
      </w:r>
      <w:r>
        <w:rPr>
          <w:rFonts w:hint="default" w:ascii="Times New Roman" w:hAnsi="Times New Roman" w:eastAsia="方正仿宋_GBK" w:cs="Times New Roman"/>
          <w:bCs/>
          <w:sz w:val="32"/>
          <w:szCs w:val="32"/>
          <w:shd w:val="clear" w:color="auto" w:fill="FFFFFF"/>
        </w:rPr>
        <w:t>其中：基本支出</w:t>
      </w:r>
      <w:r>
        <w:rPr>
          <w:rFonts w:hint="default" w:ascii="Times New Roman" w:hAnsi="Times New Roman" w:eastAsia="方正仿宋_GBK" w:cs="Times New Roman"/>
          <w:sz w:val="32"/>
          <w:szCs w:val="32"/>
        </w:rPr>
        <w:t>526.05</w:t>
      </w:r>
      <w:r>
        <w:rPr>
          <w:rFonts w:hint="default" w:ascii="Times New Roman" w:hAnsi="Times New Roman" w:eastAsia="方正仿宋_GBK" w:cs="Times New Roman"/>
          <w:bCs/>
          <w:sz w:val="32"/>
          <w:szCs w:val="32"/>
          <w:shd w:val="clear" w:color="auto" w:fill="FFFFFF"/>
        </w:rPr>
        <w:t>万元，</w:t>
      </w:r>
      <w:r>
        <w:rPr>
          <w:rFonts w:hint="default" w:ascii="Times New Roman" w:hAnsi="Times New Roman" w:eastAsia="方正仿宋_GBK" w:cs="Times New Roman"/>
          <w:sz w:val="32"/>
          <w:szCs w:val="32"/>
          <w:shd w:val="clear" w:color="auto" w:fill="FFFFFF"/>
        </w:rPr>
        <w:t>占96.02%；项目支出</w:t>
      </w:r>
      <w:r>
        <w:rPr>
          <w:rFonts w:hint="default" w:ascii="Times New Roman" w:hAnsi="Times New Roman" w:eastAsia="方正仿宋_GBK" w:cs="Times New Roman"/>
          <w:sz w:val="32"/>
          <w:szCs w:val="32"/>
        </w:rPr>
        <w:t>21.83</w:t>
      </w:r>
      <w:r>
        <w:rPr>
          <w:rFonts w:hint="default" w:ascii="Times New Roman" w:hAnsi="Times New Roman" w:eastAsia="方正仿宋_GBK" w:cs="Times New Roman"/>
          <w:sz w:val="32"/>
          <w:szCs w:val="32"/>
          <w:shd w:val="clear" w:color="auto" w:fill="FFFFFF"/>
        </w:rPr>
        <w:t>万元，占3.98%；经营支出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bCs/>
          <w:sz w:val="32"/>
          <w:szCs w:val="32"/>
          <w:shd w:val="clear" w:color="auto" w:fill="FFFFFF"/>
        </w:rPr>
        <w:t xml:space="preserve"> </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shd w:val="clear" w:color="auto" w:fill="FFFFFF"/>
        </w:rPr>
        <w:t>2023年度财政拨款收、支总计</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kern w:val="0"/>
          <w:sz w:val="32"/>
          <w:szCs w:val="32"/>
          <w:shd w:val="clear" w:color="auto" w:fill="FFFFFF"/>
        </w:rPr>
        <w:t>万元。与2022年相比，财政拨款收、支总计各增加79.30万元，增加34.30%。</w:t>
      </w:r>
      <w:r>
        <w:rPr>
          <w:rFonts w:hint="default" w:ascii="Times New Roman" w:hAnsi="Times New Roman" w:eastAsia="方正仿宋_GBK" w:cs="Times New Roman"/>
          <w:kern w:val="0"/>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kern w:val="0"/>
          <w:sz w:val="32"/>
          <w:szCs w:val="32"/>
          <w:shd w:val="clear" w:color="auto" w:fill="FFFFFF"/>
        </w:rPr>
        <w:t>。</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1.收入情况。</w:t>
      </w:r>
      <w:r>
        <w:rPr>
          <w:rFonts w:hint="default" w:ascii="Times New Roman" w:hAnsi="Times New Roman" w:eastAsia="方正仿宋_GBK" w:cs="Times New Roman"/>
          <w:bCs/>
          <w:sz w:val="32"/>
          <w:szCs w:val="32"/>
          <w:shd w:val="clear" w:color="auto" w:fill="FFFFFF"/>
        </w:rPr>
        <w:t>2023年度一般公共预算财政拨款收入310.48万元，较上年决算数增加79.30万元，增加34.30%。</w:t>
      </w:r>
      <w:r>
        <w:rPr>
          <w:rFonts w:hint="default" w:ascii="Times New Roman" w:hAnsi="Times New Roman" w:eastAsia="方正仿宋_GBK" w:cs="Times New Roman"/>
          <w:bCs/>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sz w:val="32"/>
          <w:szCs w:val="32"/>
          <w:shd w:val="clear" w:color="auto" w:fill="FFFFFF"/>
        </w:rPr>
        <w:t>较年初预算数增加120.85万元，增长63.73%。</w:t>
      </w:r>
      <w:r>
        <w:rPr>
          <w:rFonts w:hint="default" w:ascii="Times New Roman" w:hAnsi="Times New Roman" w:eastAsia="方正仿宋_GBK" w:cs="Times New Roman"/>
          <w:bCs/>
          <w:sz w:val="32"/>
          <w:szCs w:val="32"/>
          <w:shd w:val="clear" w:color="auto" w:fill="FFFFFF"/>
        </w:rPr>
        <w:t>主要原因</w:t>
      </w:r>
      <w:r>
        <w:rPr>
          <w:rFonts w:hint="default" w:ascii="Times New Roman" w:hAnsi="Times New Roman" w:eastAsia="方正仿宋_GBK" w:cs="Times New Roman"/>
          <w:bCs/>
          <w:sz w:val="32"/>
          <w:szCs w:val="32"/>
        </w:rPr>
        <w:t>是根据单位情况预估核算，实际财政拨款收入由财政根据资金分配情况统一安排拨款</w:t>
      </w:r>
      <w:r>
        <w:rPr>
          <w:rFonts w:hint="default" w:ascii="Times New Roman" w:hAnsi="Times New Roman" w:eastAsia="方正仿宋_GBK" w:cs="Times New Roman"/>
          <w:bCs/>
          <w:sz w:val="32"/>
          <w:szCs w:val="32"/>
          <w:shd w:val="clear" w:color="auto" w:fill="FFFFFF"/>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296.12</w:t>
      </w:r>
      <w:r>
        <w:rPr>
          <w:rFonts w:hint="default" w:ascii="Times New Roman" w:hAnsi="Times New Roman" w:eastAsia="方正仿宋_GBK" w:cs="Times New Roman"/>
          <w:sz w:val="32"/>
          <w:szCs w:val="32"/>
          <w:shd w:val="clear" w:color="auto" w:fill="FFFFFF"/>
        </w:rPr>
        <w:t>万元，较上年决算数增加64.94万元，增长28.09%</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bCs/>
          <w:sz w:val="32"/>
          <w:szCs w:val="32"/>
        </w:rPr>
        <w:t>主要原因是医疗支出中药品、耗材、人员工资、办公等支出</w:t>
      </w:r>
      <w:r>
        <w:rPr>
          <w:rFonts w:hint="default" w:ascii="Times New Roman" w:hAnsi="Times New Roman" w:eastAsia="方正仿宋_GBK" w:cs="Times New Roman"/>
          <w:bCs/>
          <w:sz w:val="32"/>
          <w:szCs w:val="32"/>
          <w:highlight w:val="none"/>
        </w:rPr>
        <w:t>增加</w:t>
      </w:r>
      <w:r>
        <w:rPr>
          <w:rFonts w:hint="default" w:ascii="Times New Roman" w:hAnsi="Times New Roman" w:eastAsia="方正仿宋_GBK" w:cs="Times New Roman"/>
          <w:bCs/>
          <w:sz w:val="32"/>
          <w:szCs w:val="32"/>
          <w:highlight w:val="none"/>
          <w:shd w:val="clear" w:color="auto" w:fill="FFFFFF"/>
        </w:rPr>
        <w:t>。</w:t>
      </w:r>
      <w:r>
        <w:rPr>
          <w:rFonts w:hint="default" w:ascii="Times New Roman" w:hAnsi="Times New Roman" w:eastAsia="方正仿宋_GBK" w:cs="Times New Roman"/>
          <w:sz w:val="32"/>
          <w:szCs w:val="32"/>
          <w:shd w:val="clear" w:color="auto" w:fill="FFFFFF"/>
        </w:rPr>
        <w:t>较年初预算数增加106.49万元，增长56.16%。</w:t>
      </w:r>
      <w:r>
        <w:rPr>
          <w:rStyle w:val="29"/>
          <w:rFonts w:hint="default" w:ascii="Times New Roman" w:hAnsi="Times New Roman" w:eastAsia="方正仿宋_GBK" w:cs="Times New Roman"/>
          <w:b w:val="0"/>
          <w:bCs/>
          <w:sz w:val="32"/>
          <w:szCs w:val="32"/>
          <w:shd w:val="clear" w:color="auto" w:fill="FFFFFF"/>
        </w:rPr>
        <w:t>主要原因是</w:t>
      </w:r>
      <w:r>
        <w:rPr>
          <w:rFonts w:hint="default" w:ascii="Times New Roman" w:hAnsi="Times New Roman" w:eastAsia="方正仿宋_GBK" w:cs="Times New Roman"/>
          <w:bCs/>
          <w:sz w:val="32"/>
          <w:szCs w:val="32"/>
        </w:rPr>
        <w:t>年初预算主要是根据单位情况预估核算，实际财政拨款收入由财政根据资金分配情况统一安排拨款，因此财政拨款支出与年初预算有相应差异</w:t>
      </w:r>
      <w:r>
        <w:rPr>
          <w:rStyle w:val="29"/>
          <w:rFonts w:hint="default" w:ascii="Times New Roman" w:hAnsi="Times New Roman" w:eastAsia="方正仿宋_GBK" w:cs="Times New Roman"/>
          <w:b w:val="0"/>
          <w:bCs/>
          <w:sz w:val="32"/>
          <w:szCs w:val="32"/>
          <w:shd w:val="clear" w:color="auto" w:fill="FFFFFF"/>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3.结转结余情况。</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w:t>
      </w:r>
      <w:r>
        <w:rPr>
          <w:rFonts w:hint="default" w:ascii="Times New Roman" w:hAnsi="Times New Roman" w:eastAsia="方正仿宋_GBK" w:cs="Times New Roman"/>
          <w:sz w:val="32"/>
          <w:szCs w:val="32"/>
          <w:highlight w:val="none"/>
          <w:shd w:val="clear" w:color="auto" w:fill="FFFFFF"/>
        </w:rPr>
        <w:t>因</w:t>
      </w:r>
      <w:r>
        <w:rPr>
          <w:rFonts w:hint="default" w:ascii="Times New Roman" w:hAnsi="Times New Roman" w:eastAsia="方正仿宋_GBK" w:cs="Times New Roman"/>
          <w:bCs/>
          <w:sz w:val="32"/>
          <w:szCs w:val="32"/>
          <w:highlight w:val="none"/>
          <w:lang w:val="en-US" w:eastAsia="zh-CN"/>
        </w:rPr>
        <w:t>2022年超额绩效工资清算拨款</w:t>
      </w:r>
      <w:r>
        <w:rPr>
          <w:rFonts w:hint="eastAsia" w:ascii="Times New Roman" w:hAnsi="Times New Roman" w:eastAsia="方正仿宋_GBK" w:cs="Times New Roman"/>
          <w:color w:val="auto"/>
          <w:sz w:val="32"/>
          <w:szCs w:val="32"/>
          <w:highlight w:val="none"/>
          <w:shd w:val="clear" w:color="auto" w:fill="FFFFFF"/>
          <w:lang w:val="en-US" w:eastAsia="zh-CN"/>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4.比较情况。</w:t>
      </w:r>
      <w:r>
        <w:rPr>
          <w:rFonts w:hint="default" w:ascii="Times New Roman" w:hAnsi="Times New Roman" w:eastAsia="方正仿宋_GBK" w:cs="Times New Roman"/>
          <w:bCs/>
          <w:sz w:val="32"/>
          <w:szCs w:val="32"/>
          <w:shd w:val="clear" w:color="auto" w:fill="FFFFFF"/>
        </w:rPr>
        <w:t>本单位2023年度一般公共预算财政拨款支出主要用于以下几个方面：</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25.95</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8.76</w:t>
      </w:r>
      <w:r>
        <w:rPr>
          <w:rFonts w:hint="default" w:ascii="Times New Roman" w:hAnsi="Times New Roman" w:eastAsia="方正仿宋_GBK" w:cs="Times New Roman"/>
          <w:sz w:val="32"/>
          <w:szCs w:val="32"/>
          <w:shd w:val="clear" w:color="auto" w:fill="FFFFFF"/>
        </w:rPr>
        <w:t>%，较年初预算数减少7.68万元，下降22.84%，主要原因是</w:t>
      </w:r>
      <w:bookmarkStart w:id="1" w:name="_GoBack"/>
      <w:bookmarkEnd w:id="1"/>
      <w:r>
        <w:rPr>
          <w:rFonts w:hint="default" w:ascii="Times New Roman" w:hAnsi="Times New Roman" w:eastAsia="方正仿宋_GBK" w:cs="Times New Roman"/>
          <w:bCs/>
          <w:sz w:val="32"/>
          <w:szCs w:val="32"/>
          <w:shd w:val="clear" w:color="auto" w:fill="FFFFFF"/>
        </w:rPr>
        <w:t>人员减少，</w:t>
      </w:r>
      <w:r>
        <w:rPr>
          <w:rFonts w:hint="default" w:ascii="Times New Roman" w:hAnsi="Times New Roman" w:eastAsia="方正仿宋_GBK" w:cs="Times New Roman"/>
          <w:bCs/>
          <w:sz w:val="32"/>
          <w:szCs w:val="32"/>
        </w:rPr>
        <w:t>支出相应减少</w:t>
      </w:r>
      <w:r>
        <w:rPr>
          <w:rFonts w:hint="default" w:ascii="Times New Roman" w:hAnsi="Times New Roman" w:eastAsia="方正仿宋_GBK" w:cs="Times New Roman"/>
          <w:bCs/>
          <w:sz w:val="32"/>
          <w:szCs w:val="32"/>
          <w:shd w:val="clear" w:color="auto" w:fill="FFFFFF"/>
        </w:rPr>
        <w:t>。</w:t>
      </w:r>
    </w:p>
    <w:p>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261.70</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88.38</w:t>
      </w:r>
      <w:r>
        <w:rPr>
          <w:rFonts w:hint="default" w:ascii="Times New Roman" w:hAnsi="Times New Roman" w:eastAsia="方正仿宋_GBK" w:cs="Times New Roman"/>
          <w:sz w:val="32"/>
          <w:szCs w:val="32"/>
          <w:shd w:val="clear" w:color="auto" w:fill="FFFFFF"/>
        </w:rPr>
        <w:t>%，较年初预算数增加119.91万元，增长84.57%，主要原因是</w:t>
      </w:r>
      <w:r>
        <w:rPr>
          <w:rFonts w:hint="default" w:ascii="Times New Roman" w:hAnsi="Times New Roman" w:eastAsia="方正仿宋_GBK" w:cs="Times New Roman"/>
          <w:bCs/>
          <w:sz w:val="32"/>
          <w:szCs w:val="32"/>
        </w:rPr>
        <w:t>根据单位情况预估核算，实际财政拨款收入由财政根据资金分配情况统一安排拨款，因此财政拨款支出与年初预算有相应差异。</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highlight w:val="magenta"/>
        </w:rPr>
      </w:pPr>
      <w:r>
        <w:rPr>
          <w:rFonts w:hint="default" w:ascii="Times New Roman" w:hAnsi="Times New Roman" w:eastAsia="方正仿宋_GBK" w:cs="Times New Roman"/>
          <w:bCs/>
          <w:sz w:val="32"/>
          <w:szCs w:val="32"/>
          <w:shd w:val="clear" w:color="auto" w:fill="FFFFFF"/>
        </w:rPr>
        <w:t>（3）</w:t>
      </w:r>
      <w:r>
        <w:rPr>
          <w:rFonts w:hint="default" w:ascii="Times New Roman" w:hAnsi="Times New Roman" w:eastAsia="方正仿宋_GBK" w:cs="Times New Roman"/>
          <w:sz w:val="32"/>
          <w:szCs w:val="32"/>
        </w:rPr>
        <w:t>住房保障支出8.46</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2.86</w:t>
      </w:r>
      <w:r>
        <w:rPr>
          <w:rFonts w:hint="default" w:ascii="Times New Roman" w:hAnsi="Times New Roman" w:eastAsia="方正仿宋_GBK" w:cs="Times New Roman"/>
          <w:sz w:val="32"/>
          <w:szCs w:val="32"/>
          <w:shd w:val="clear" w:color="auto" w:fill="FFFFFF"/>
        </w:rPr>
        <w:t>%，较年初预算数减少5.75万元，下降40.46%，</w:t>
      </w:r>
      <w:r>
        <w:rPr>
          <w:rFonts w:hint="default" w:ascii="Times New Roman" w:hAnsi="Times New Roman" w:eastAsia="方正仿宋_GBK" w:cs="Times New Roman"/>
          <w:sz w:val="32"/>
          <w:szCs w:val="32"/>
          <w:highlight w:val="none"/>
          <w:shd w:val="clear" w:color="auto" w:fill="FFFFFF"/>
        </w:rPr>
        <w:t>主要原因</w:t>
      </w:r>
      <w:r>
        <w:rPr>
          <w:rFonts w:hint="default" w:ascii="Times New Roman" w:hAnsi="Times New Roman" w:eastAsia="方正仿宋_GBK" w:cs="Times New Roman"/>
          <w:bCs/>
          <w:sz w:val="32"/>
          <w:szCs w:val="32"/>
          <w:highlight w:val="none"/>
          <w:shd w:val="clear" w:color="auto" w:fill="FFFFFF"/>
        </w:rPr>
        <w:t>是</w:t>
      </w:r>
      <w:r>
        <w:rPr>
          <w:rFonts w:hint="eastAsia" w:ascii="Times New Roman" w:hAnsi="Times New Roman" w:eastAsia="方正仿宋_GBK" w:cs="Times New Roman"/>
          <w:bCs/>
          <w:sz w:val="32"/>
          <w:szCs w:val="32"/>
          <w:highlight w:val="none"/>
          <w:shd w:val="clear" w:color="auto" w:fill="FFFFFF"/>
          <w:lang w:val="en-US" w:eastAsia="zh-CN"/>
        </w:rPr>
        <w:t>人员减少</w:t>
      </w:r>
      <w:r>
        <w:rPr>
          <w:rFonts w:hint="default" w:ascii="Times New Roman" w:hAnsi="Times New Roman" w:eastAsia="方正仿宋_GBK" w:cs="Times New Roman"/>
          <w:bCs/>
          <w:sz w:val="32"/>
          <w:szCs w:val="32"/>
          <w:highlight w:val="none"/>
          <w:shd w:val="clear" w:color="auto" w:fill="FFFFFF"/>
        </w:rPr>
        <w:t>。</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sz w:val="32"/>
          <w:szCs w:val="32"/>
          <w:shd w:val="clear" w:color="auto" w:fill="FFFFFF"/>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万元，较上年决算数增加62.44万元，增长29.47%，</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color w:val="auto"/>
          <w:sz w:val="32"/>
          <w:szCs w:val="32"/>
          <w:shd w:val="clear" w:color="auto" w:fill="FFFFFF"/>
          <w:lang w:val="en-US" w:eastAsia="zh-CN"/>
        </w:rPr>
        <w:t>人员工资及社保标准调标</w:t>
      </w:r>
      <w:r>
        <w:rPr>
          <w:rFonts w:hint="default" w:ascii="Times New Roman" w:hAnsi="Times New Roman" w:eastAsia="方正仿宋_GBK" w:cs="Times New Roman"/>
          <w:sz w:val="32"/>
          <w:szCs w:val="32"/>
        </w:rPr>
        <w:t>。人员经费用途主要包括人员社会保障、工资、绩效、津补贴支出等</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公用经费用途主要包括培训支出、差旅支出、水电支出等。</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pPr>
        <w:pStyle w:val="15"/>
        <w:keepNext w:val="0"/>
        <w:keepLines w:val="0"/>
        <w:pageBreakBefore w:val="0"/>
        <w:widowControl/>
        <w:kinsoku/>
        <w:wordWrap/>
        <w:overflowPunct/>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本单位2023年度无政府性基金预算财政拨款收支。</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本单位2023年度无国有资本经营预算财政拨款支出。</w:t>
      </w:r>
    </w:p>
    <w:p>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三、“三公”经费情况说明</w:t>
      </w:r>
      <w:r>
        <w:rPr>
          <w:rFonts w:hint="default" w:ascii="Times New Roman" w:hAnsi="Times New Roman" w:eastAsia="方正仿宋_GBK" w:cs="Times New Roman"/>
          <w:sz w:val="32"/>
          <w:szCs w:val="32"/>
        </w:rPr>
        <w:t xml:space="preserve"> </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eastAsia" w:ascii="方正楷体_GBK" w:hAnsi="方正楷体_GBK" w:eastAsia="方正楷体_GBK" w:cs="方正楷体_GBK"/>
          <w:sz w:val="32"/>
          <w:szCs w:val="32"/>
        </w:rPr>
      </w:pPr>
      <w:r>
        <w:rPr>
          <w:rStyle w:val="10"/>
          <w:rFonts w:hint="eastAsia" w:ascii="方正楷体_GBK" w:hAnsi="方正楷体_GBK" w:eastAsia="方正楷体_GBK" w:cs="方正楷体_GBK"/>
          <w:b w:val="0"/>
          <w:bCs w:val="0"/>
          <w:sz w:val="32"/>
          <w:szCs w:val="32"/>
          <w:shd w:val="clear" w:color="auto" w:fill="FFFFFF"/>
        </w:rPr>
        <w:t>（一）“三公”经费支出总体情况说明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本单位属于差额拨款单位，财政未保</w:t>
      </w:r>
      <w:r>
        <w:rPr>
          <w:rFonts w:hint="default" w:ascii="Times New Roman" w:hAnsi="Times New Roman" w:eastAsia="方正仿宋_GBK" w:cs="Times New Roman"/>
          <w:sz w:val="32"/>
          <w:szCs w:val="32"/>
          <w:highlight w:val="none"/>
          <w:shd w:val="clear" w:color="auto" w:fill="FFFFFF"/>
        </w:rPr>
        <w:t>障</w:t>
      </w:r>
      <w:r>
        <w:rPr>
          <w:rFonts w:hint="eastAsia" w:ascii="Times New Roman" w:hAnsi="Times New Roman" w:eastAsia="方正仿宋_GBK" w:cs="Times New Roman"/>
          <w:sz w:val="32"/>
          <w:szCs w:val="32"/>
          <w:highlight w:val="none"/>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三公”经费</w:t>
      </w:r>
      <w:r>
        <w:rPr>
          <w:rFonts w:hint="default" w:ascii="Times New Roman" w:hAnsi="Times New Roman" w:eastAsia="方正仿宋_GBK" w:cs="Times New Roman"/>
          <w:kern w:val="0"/>
          <w:sz w:val="32"/>
          <w:szCs w:val="32"/>
        </w:rPr>
        <w:t>。</w:t>
      </w:r>
    </w:p>
    <w:p>
      <w:pPr>
        <w:pStyle w:val="7"/>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0"/>
          <w:rFonts w:hint="eastAsia" w:ascii="方正楷体_GBK" w:hAnsi="方正楷体_GBK" w:eastAsia="方正楷体_GBK" w:cs="方正楷体_GBK"/>
          <w:b w:val="0"/>
          <w:bCs w:val="0"/>
          <w:sz w:val="32"/>
          <w:szCs w:val="32"/>
          <w:shd w:val="clear" w:color="auto" w:fill="FFFFFF"/>
        </w:rPr>
      </w:pPr>
      <w:r>
        <w:rPr>
          <w:rStyle w:val="10"/>
          <w:rFonts w:hint="eastAsia" w:ascii="方正楷体_GBK" w:hAnsi="方正楷体_GBK" w:eastAsia="方正楷体_GBK" w:cs="方正楷体_GBK"/>
          <w:b w:val="0"/>
          <w:bCs w:val="0"/>
          <w:sz w:val="32"/>
          <w:szCs w:val="32"/>
          <w:shd w:val="clear" w:color="auto" w:fill="FFFFFF"/>
        </w:rPr>
        <w:t>“三公”经费分项支出情况</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0"/>
          <w:rFonts w:hint="eastAsia" w:ascii="方正楷体_GBK" w:hAnsi="方正楷体_GBK" w:eastAsia="方正楷体_GBK" w:cs="方正楷体_GBK"/>
          <w:b w:val="0"/>
          <w:bCs w:val="0"/>
          <w:sz w:val="32"/>
          <w:szCs w:val="32"/>
          <w:shd w:val="clear" w:color="auto" w:fill="FFFFFF"/>
        </w:rPr>
      </w:pPr>
      <w:r>
        <w:rPr>
          <w:rStyle w:val="10"/>
          <w:rFonts w:hint="eastAsia" w:ascii="方正楷体_GBK" w:hAnsi="方正楷体_GBK" w:eastAsia="方正楷体_GBK" w:cs="方正楷体_GBK"/>
          <w:b w:val="0"/>
          <w:bCs w:val="0"/>
          <w:sz w:val="32"/>
          <w:szCs w:val="32"/>
          <w:shd w:val="clear" w:color="auto" w:fill="FFFFFF"/>
        </w:rPr>
        <w:t>“三公”经费实物量情况</w:t>
      </w:r>
    </w:p>
    <w:p>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2023年度本单位因公出国（境）共计0个团组，0人；公务用车购置0辆，公务车保有量为0辆；国内公务接待0批次0人，其中：国内外事接待0批次，0人；国（境）外公务接待0批次，0人。202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人均接待费0.00元，车均购置费0.00万元，车均维护费0.00万元。</w:t>
      </w:r>
    </w:p>
    <w:p>
      <w:pPr>
        <w:pStyle w:val="17"/>
        <w:keepNext w:val="0"/>
        <w:keepLines w:val="0"/>
        <w:pageBreakBefore w:val="0"/>
        <w:tabs>
          <w:tab w:val="center" w:pos="4153"/>
          <w:tab w:val="left" w:pos="7275"/>
        </w:tabs>
        <w:kinsoku/>
        <w:wordWrap/>
        <w:overflowPunct/>
        <w:topLinePunct w:val="0"/>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四、其他需要说明的事项</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楷体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（一）财政拨款会议费和培训费情况说明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本单位是差额拨款单位，财政未保障</w:t>
      </w:r>
      <w:r>
        <w:rPr>
          <w:rFonts w:hint="eastAsia"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会议费和培训费。</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Style w:val="10"/>
          <w:rFonts w:hint="default" w:ascii="Times New Roman" w:hAnsi="Times New Roman" w:eastAsia="方正楷体_GBK" w:cs="Times New Roman"/>
          <w:b w:val="0"/>
          <w:bCs w:val="0"/>
          <w:sz w:val="32"/>
          <w:szCs w:val="32"/>
          <w:shd w:val="clear" w:color="auto" w:fill="FFFFFF"/>
        </w:rPr>
        <w:t>（二）机关运行经费支出情况说明</w:t>
      </w:r>
    </w:p>
    <w:p>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28"/>
          <w:rFonts w:hint="default" w:ascii="Times New Roman" w:hAnsi="Times New Roman" w:eastAsia="方正仿宋_GBK" w:cs="Times New Roman"/>
          <w:b w:val="0"/>
          <w:sz w:val="32"/>
          <w:szCs w:val="32"/>
          <w:shd w:val="clear" w:color="auto" w:fill="FFFFFF"/>
        </w:rPr>
      </w:pPr>
      <w:r>
        <w:rPr>
          <w:rStyle w:val="28"/>
          <w:rFonts w:hint="default" w:ascii="Times New Roman" w:hAnsi="Times New Roman" w:eastAsia="方正仿宋_GBK" w:cs="Times New Roman"/>
          <w:b w:val="0"/>
          <w:sz w:val="32"/>
          <w:szCs w:val="32"/>
          <w:shd w:val="clear" w:color="auto" w:fill="FFFFFF"/>
        </w:rPr>
        <w:t>按照部门决算列报口径，</w:t>
      </w:r>
      <w:r>
        <w:rPr>
          <w:rStyle w:val="28"/>
          <w:rFonts w:hint="eastAsia" w:ascii="Times New Roman" w:hAnsi="Times New Roman" w:eastAsia="方正仿宋_GBK" w:cs="Times New Roman"/>
          <w:b w:val="0"/>
          <w:sz w:val="32"/>
          <w:szCs w:val="32"/>
          <w:highlight w:val="none"/>
          <w:shd w:val="clear" w:color="auto" w:fill="FFFFFF"/>
          <w:lang w:val="en-US" w:eastAsia="zh-CN"/>
        </w:rPr>
        <w:t>本</w:t>
      </w:r>
      <w:r>
        <w:rPr>
          <w:rStyle w:val="28"/>
          <w:rFonts w:hint="default" w:ascii="Times New Roman" w:hAnsi="Times New Roman" w:eastAsia="方正仿宋_GBK" w:cs="Times New Roman"/>
          <w:b w:val="0"/>
          <w:sz w:val="32"/>
          <w:szCs w:val="32"/>
          <w:highlight w:val="none"/>
          <w:shd w:val="clear" w:color="auto" w:fill="FFFFFF"/>
        </w:rPr>
        <w:t>单位</w:t>
      </w:r>
      <w:r>
        <w:rPr>
          <w:rStyle w:val="28"/>
          <w:rFonts w:hint="eastAsia" w:ascii="Times New Roman" w:hAnsi="Times New Roman" w:eastAsia="方正仿宋_GBK" w:cs="Times New Roman"/>
          <w:b w:val="0"/>
          <w:sz w:val="32"/>
          <w:szCs w:val="32"/>
          <w:highlight w:val="none"/>
          <w:shd w:val="clear" w:color="auto" w:fill="FFFFFF"/>
          <w:lang w:eastAsia="zh-CN"/>
        </w:rPr>
        <w:t>为差额拨款单位</w:t>
      </w:r>
      <w:r>
        <w:rPr>
          <w:rStyle w:val="28"/>
          <w:rFonts w:hint="default" w:ascii="Times New Roman" w:hAnsi="Times New Roman" w:eastAsia="方正仿宋_GBK" w:cs="Times New Roman"/>
          <w:b w:val="0"/>
          <w:sz w:val="32"/>
          <w:szCs w:val="32"/>
          <w:highlight w:val="none"/>
          <w:shd w:val="clear" w:color="auto" w:fill="FFFFFF"/>
        </w:rPr>
        <w:t>不</w:t>
      </w:r>
      <w:r>
        <w:rPr>
          <w:rStyle w:val="28"/>
          <w:rFonts w:hint="default" w:ascii="Times New Roman" w:hAnsi="Times New Roman" w:eastAsia="方正仿宋_GBK" w:cs="Times New Roman"/>
          <w:b w:val="0"/>
          <w:sz w:val="32"/>
          <w:szCs w:val="32"/>
          <w:shd w:val="clear" w:color="auto" w:fill="FFFFFF"/>
        </w:rPr>
        <w:t>在机关运行经费统计范围之内。</w:t>
      </w:r>
    </w:p>
    <w:p>
      <w:pPr>
        <w:pStyle w:val="7"/>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sz w:val="32"/>
          <w:szCs w:val="32"/>
        </w:rPr>
        <w:t>（三）</w:t>
      </w:r>
      <w:r>
        <w:rPr>
          <w:rStyle w:val="10"/>
          <w:rFonts w:hint="default" w:ascii="Times New Roman" w:hAnsi="Times New Roman" w:eastAsia="方正楷体_GBK" w:cs="Times New Roman"/>
          <w:b w:val="0"/>
          <w:bCs w:val="0"/>
          <w:sz w:val="32"/>
          <w:szCs w:val="32"/>
          <w:shd w:val="clear" w:color="auto" w:fill="FFFFFF"/>
        </w:rPr>
        <w:t>国有资产占用情况说明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210" w:leftChars="100"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截至2023年12月31日，本单位共有车辆2辆，其中，副部（省）级及以上领导用车0辆、主要领导干部用车0辆、机要通信用车0辆、应急保障用车0辆、执法执勤用车0辆，特种专业技术用车2辆，离退休干部用车0辆，其他用车0辆，单价100万元（含）以上设备（不含车辆）0台（套）。</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Style w:val="10"/>
          <w:rFonts w:hint="default" w:ascii="Times New Roman" w:hAnsi="Times New Roman" w:eastAsia="方正楷体_GBK" w:cs="Times New Roman"/>
          <w:b w:val="0"/>
          <w:bCs w:val="0"/>
          <w:sz w:val="32"/>
          <w:szCs w:val="32"/>
          <w:shd w:val="clear" w:color="auto" w:fill="FFFFFF"/>
        </w:rPr>
        <w:t>（四）政府采购支出情况说明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年度</w:t>
      </w:r>
      <w:r>
        <w:rPr>
          <w:rFonts w:hint="eastAsia"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单位未发生政府采购事项，无相关经费支出。</w:t>
      </w: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五、预算绩效管理情况说明</w:t>
      </w:r>
    </w:p>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840" w:tblpY="17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490" w:hRule="atLeast"/>
        </w:trPr>
        <w:tc>
          <w:tcPr>
            <w:tcW w:w="8400" w:type="dxa"/>
            <w:gridSpan w:val="11"/>
            <w:vAlign w:val="center"/>
          </w:tcPr>
          <w:p>
            <w:pPr>
              <w:keepNext w:val="0"/>
              <w:keepLines w:val="0"/>
              <w:widowControl/>
              <w:suppressLineNumbers w:val="0"/>
              <w:spacing w:before="0" w:beforeAutospacing="0" w:after="0" w:afterAutospacing="0"/>
              <w:ind w:left="0" w:right="0" w:firstLine="1285" w:firstLineChars="400"/>
              <w:jc w:val="both"/>
              <w:textAlignment w:val="center"/>
              <w:rPr>
                <w:rFonts w:hint="eastAsia" w:ascii="Times New Roman" w:hAnsi="Times New Roman" w:cs="宋体"/>
                <w:b/>
                <w:bCs w:val="0"/>
                <w:i w:val="0"/>
                <w:color w:val="auto"/>
                <w:kern w:val="0"/>
                <w:sz w:val="32"/>
                <w:szCs w:val="32"/>
                <w:highlight w:val="none"/>
                <w:u w:val="none"/>
                <w:lang w:val="en-US" w:eastAsia="zh-CN" w:bidi="ar"/>
              </w:rPr>
            </w:pPr>
            <w:r>
              <w:rPr>
                <w:rFonts w:hint="eastAsia" w:ascii="Times New Roman" w:hAnsi="Times New Roman"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ascii="Times New Roman" w:hAnsi="Times New Roman"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六、专业名词解释</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方正仿宋_GBK" w:cs="Times New Roman"/>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七、决算公开联系方式及信息反馈渠道</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highlight w:val="magenta"/>
          <w:shd w:val="clear" w:color="auto" w:fill="FFFFFF"/>
        </w:rPr>
      </w:pPr>
      <w:r>
        <w:rPr>
          <w:rFonts w:hint="default" w:ascii="Times New Roman" w:hAnsi="Times New Roman" w:eastAsia="方正仿宋_GBK" w:cs="Times New Roman"/>
          <w:sz w:val="32"/>
          <w:szCs w:val="32"/>
          <w:shd w:val="clear" w:color="auto" w:fill="FFFFFF"/>
        </w:rPr>
        <w:t>本单位决算公开信息反馈和</w:t>
      </w:r>
      <w:r>
        <w:rPr>
          <w:rFonts w:hint="default" w:ascii="Times New Roman" w:hAnsi="Times New Roman" w:eastAsia="方正仿宋_GBK" w:cs="Times New Roman"/>
          <w:sz w:val="32"/>
          <w:szCs w:val="32"/>
          <w:highlight w:val="none"/>
          <w:shd w:val="clear" w:color="auto" w:fill="FFFFFF"/>
        </w:rPr>
        <w:t>联系方式：</w:t>
      </w:r>
      <w:r>
        <w:rPr>
          <w:rFonts w:hint="eastAsia" w:ascii="Times New Roman" w:hAnsi="Times New Roman" w:eastAsia="方正仿宋_GBK" w:cs="Times New Roman"/>
          <w:sz w:val="32"/>
          <w:szCs w:val="32"/>
          <w:highlight w:val="none"/>
          <w:shd w:val="clear" w:color="auto" w:fill="FFFFFF"/>
          <w:lang w:val="en-US" w:eastAsia="zh-CN"/>
        </w:rPr>
        <w:t xml:space="preserve">杨琴 </w:t>
      </w:r>
      <w:r>
        <w:rPr>
          <w:rFonts w:hint="default" w:ascii="Times New Roman" w:hAnsi="Times New Roman" w:eastAsia="方正仿宋_GBK" w:cs="Times New Roman"/>
          <w:sz w:val="32"/>
          <w:szCs w:val="32"/>
          <w:highlight w:val="none"/>
          <w:shd w:val="clear" w:color="auto" w:fill="FFFFFF"/>
        </w:rPr>
        <w:t>023-76033909</w:t>
      </w:r>
    </w:p>
    <w:p>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highlight w:val="magenta"/>
          <w:shd w:val="clear" w:color="auto" w:fill="FFFFFF"/>
        </w:rPr>
      </w:pPr>
    </w:p>
    <w:p>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shd w:val="clear" w:color="auto" w:fill="FFFFFF"/>
        </w:rPr>
      </w:pPr>
    </w:p>
    <w:p>
      <w:pPr>
        <w:pStyle w:val="15"/>
        <w:keepNext/>
        <w:keepLines w:val="0"/>
        <w:pageBreakBefore w:val="0"/>
        <w:widowControl w:val="0"/>
        <w:kinsoku/>
        <w:wordWrap/>
        <w:overflowPunct/>
        <w:topLinePunct w:val="0"/>
        <w:autoSpaceDE w:val="0"/>
        <w:autoSpaceDN/>
        <w:bidi w:val="0"/>
        <w:adjustRightInd/>
        <w:snapToGrid/>
        <w:spacing w:before="0" w:beforeAutospacing="0" w:after="0" w:afterAutospacing="0" w:line="560" w:lineRule="exact"/>
        <w:textAlignment w:val="auto"/>
        <w:rPr>
          <w:rFonts w:hint="eastAsia" w:ascii="Times New Roman" w:hAnsi="Times New Roman" w:eastAsia="方正仿宋_GBK"/>
          <w:sz w:val="32"/>
          <w:szCs w:val="32"/>
          <w:shd w:val="clear" w:color="auto" w:fill="FFFFFF"/>
          <w:lang w:eastAsia="zh-CN"/>
        </w:rPr>
        <w:sectPr>
          <w:footerReference r:id="rId3" w:type="default"/>
          <w:pgSz w:w="11906" w:h="16838"/>
          <w:pgMar w:top="1928" w:right="1474" w:bottom="1644" w:left="1587" w:header="851" w:footer="992" w:gutter="0"/>
          <w:cols w:space="720" w:num="1"/>
          <w:docGrid w:type="lines" w:linePitch="312" w:charSpace="0"/>
        </w:sectPr>
      </w:pPr>
    </w:p>
    <w:p>
      <w:pPr>
        <w:widowControl/>
        <w:jc w:val="left"/>
        <w:rPr>
          <w:rFonts w:hint="default" w:ascii="宋体" w:hAnsi="宋体" w:eastAsia="宋体" w:cs="宋体"/>
          <w:kern w:val="0"/>
          <w:sz w:val="21"/>
          <w:szCs w:val="21"/>
        </w:rPr>
      </w:pPr>
    </w:p>
    <w:tbl>
      <w:tblPr>
        <w:tblStyle w:val="12"/>
        <w:tblpPr w:leftFromText="180" w:rightFromText="180" w:vertAnchor="text" w:horzAnchor="page" w:tblpX="1041" w:tblpY="332"/>
        <w:tblOverlap w:val="never"/>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bookmarkStart w:id="0" w:name="OLE_LINK1"/>
            <w:r>
              <w:rPr>
                <w:rFonts w:hint="eastAsia" w:ascii="宋体" w:hAnsi="宋体" w:eastAsia="宋体" w:cs="宋体"/>
                <w:b/>
                <w:color w:val="000000"/>
                <w:kern w:val="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202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0"/>
                <w:szCs w:val="20"/>
              </w:rPr>
            </w:pPr>
          </w:p>
        </w:tc>
        <w:tc>
          <w:tcPr>
            <w:tcW w:w="480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344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202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2"/>
                <w:szCs w:val="22"/>
              </w:rPr>
            </w:pPr>
          </w:p>
        </w:tc>
        <w:tc>
          <w:tcPr>
            <w:tcW w:w="480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2"/>
                <w:szCs w:val="22"/>
              </w:rPr>
            </w:pPr>
          </w:p>
        </w:tc>
        <w:tc>
          <w:tcPr>
            <w:tcW w:w="344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310.48</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一、一般公共服务支出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二、外交支出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四、公共安全支出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五、教育支出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六、科学技术支出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七、文化旅游体育与传媒支出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八、社会保障和就业支出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25.95</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九、卫生健康支出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513.46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十、节能环保支出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十一、城乡社区支出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十二、农林水支出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十三、交通运输支出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十四、资源勘探工业信息等支出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十五、商业服务业等支出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十六、金融支出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十七、援助其他地区支出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十八、自然资源海洋气象等支出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十九、住房保障支出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二十、粮油物资储备支出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二十一、国有资本经营预算支出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二十二、灾害防治及应急管理支出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二十三、其他支出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二十四、债务还本支出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二十五、债务付息支出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二十六、抗疫特别国债安排的支出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561.32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547.88</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结余分配</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0.92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年末结转和结余</w:t>
            </w:r>
          </w:p>
        </w:tc>
        <w:tc>
          <w:tcPr>
            <w:tcW w:w="3442" w:type="dxa"/>
            <w:tcBorders>
              <w:top w:val="nil"/>
              <w:left w:val="nil"/>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14.36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344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r>
      <w:bookmarkEnd w:id="0"/>
    </w:tbl>
    <w:p>
      <w:pPr>
        <w:widowControl/>
        <w:spacing w:line="240" w:lineRule="exact"/>
        <w:jc w:val="left"/>
        <w:rPr>
          <w:rFonts w:hint="eastAsia" w:ascii="宋体" w:hAnsi="宋体" w:eastAsia="宋体" w:cs="宋体"/>
          <w:kern w:val="0"/>
          <w:sz w:val="20"/>
          <w:szCs w:val="20"/>
        </w:rPr>
      </w:pPr>
    </w:p>
    <w:p>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cantSplit/>
          <w:trHeight w:val="641" w:hRule="atLeast"/>
        </w:trPr>
        <w:tc>
          <w:tcPr>
            <w:tcW w:w="15378" w:type="dxa"/>
            <w:gridSpan w:val="10"/>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收入决算表</w:t>
            </w:r>
          </w:p>
        </w:tc>
      </w:tr>
      <w:tr>
        <w:tblPrEx>
          <w:tblLayout w:type="fixed"/>
          <w:tblCellMar>
            <w:top w:w="0" w:type="dxa"/>
            <w:left w:w="0" w:type="dxa"/>
            <w:bottom w:w="0" w:type="dxa"/>
            <w:right w:w="0" w:type="dxa"/>
          </w:tblCellMar>
        </w:tblPrEx>
        <w:trPr>
          <w:cantSplit/>
          <w:trHeight w:val="328" w:hRule="atLeast"/>
        </w:trPr>
        <w:tc>
          <w:tcPr>
            <w:tcW w:w="4873"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公开02表</w:t>
            </w:r>
          </w:p>
        </w:tc>
      </w:tr>
      <w:tr>
        <w:tblPrEx>
          <w:tblLayout w:type="fixed"/>
          <w:tblCellMar>
            <w:top w:w="0" w:type="dxa"/>
            <w:left w:w="0" w:type="dxa"/>
            <w:bottom w:w="0" w:type="dxa"/>
            <w:right w:w="0" w:type="dxa"/>
          </w:tblCellMar>
        </w:tblPrEx>
        <w:trPr>
          <w:cantSplit/>
          <w:trHeight w:val="328" w:hRule="atLeast"/>
        </w:trPr>
        <w:tc>
          <w:tcPr>
            <w:tcW w:w="4873"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其他收入</w:t>
            </w:r>
          </w:p>
        </w:tc>
      </w:tr>
      <w:tr>
        <w:tblPrEx>
          <w:tblLayout w:type="fixed"/>
          <w:tblCellMar>
            <w:top w:w="0" w:type="dxa"/>
            <w:left w:w="0" w:type="dxa"/>
            <w:bottom w:w="0" w:type="dxa"/>
            <w:right w:w="0" w:type="dxa"/>
          </w:tblCellMar>
        </w:tblPrEx>
        <w:trPr>
          <w:cantSplit/>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561.32</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310.48</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3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3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6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526.90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276.06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408.35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157.51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408.35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157.51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171" w:type="dxa"/>
            <w:tcBorders>
              <w:top w:val="nil"/>
              <w:left w:val="nil"/>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23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ind w:left="600" w:hanging="600" w:hangingChars="300"/>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备注：1.本表反映单位本年度取得的各项收入情况。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cantSplit/>
          <w:trHeight w:val="654" w:hRule="atLeast"/>
        </w:trPr>
        <w:tc>
          <w:tcPr>
            <w:tcW w:w="15378" w:type="dxa"/>
            <w:gridSpan w:val="8"/>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支出决算表</w:t>
            </w:r>
          </w:p>
        </w:tc>
      </w:tr>
      <w:tr>
        <w:tblPrEx>
          <w:tblLayout w:type="fixed"/>
          <w:tblCellMar>
            <w:top w:w="0" w:type="dxa"/>
            <w:left w:w="0" w:type="dxa"/>
            <w:bottom w:w="0" w:type="dxa"/>
            <w:right w:w="0" w:type="dxa"/>
          </w:tblCellMar>
        </w:tblPrEx>
        <w:trPr>
          <w:cantSplit/>
          <w:trHeight w:val="342" w:hRule="atLeast"/>
        </w:trPr>
        <w:tc>
          <w:tcPr>
            <w:tcW w:w="5158"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 xml:space="preserve">重庆市秀山土家族苗族自治县溪口镇卫生院 </w:t>
            </w: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0" w:type="dxa"/>
            <w:bottom w:w="0" w:type="dxa"/>
            <w:right w:w="0" w:type="dxa"/>
          </w:tblCellMar>
        </w:tblPrEx>
        <w:trPr>
          <w:cantSplit/>
          <w:trHeight w:val="342" w:hRule="atLeast"/>
        </w:trPr>
        <w:tc>
          <w:tcPr>
            <w:tcW w:w="5158"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对附属单位补助支出</w:t>
            </w:r>
          </w:p>
        </w:tc>
      </w:tr>
      <w:tr>
        <w:tblPrEx>
          <w:tblLayout w:type="fixed"/>
          <w:tblCellMar>
            <w:top w:w="0" w:type="dxa"/>
            <w:left w:w="0" w:type="dxa"/>
            <w:bottom w:w="0" w:type="dxa"/>
            <w:right w:w="0" w:type="dxa"/>
          </w:tblCellMar>
        </w:tblPrEx>
        <w:trPr>
          <w:cantSplit/>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547.88</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526.05</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4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513.46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491.63</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备注：1.本表反映单位本年度各项支出情况。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p>
      <w:pPr>
        <w:widowControl/>
        <w:jc w:val="left"/>
        <w:rPr>
          <w:rFonts w:hint="default" w:ascii="宋体" w:hAnsi="宋体" w:eastAsia="宋体" w:cs="宋体"/>
          <w:kern w:val="0"/>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19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备注：1.本表反映单位本年度一般公共预算财政拨款、政府性基金预算财政拨款及国有资本经营预算财政拨款的总收支和年末结转结余情况。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r>
        <w:rPr>
          <w:rFonts w:hint="eastAsia" w:ascii="宋体" w:hAnsi="宋体" w:eastAsia="宋体" w:cs="宋体"/>
          <w:kern w:val="0"/>
          <w:sz w:val="21"/>
          <w:szCs w:val="21"/>
        </w:rPr>
        <w:br w:type="page"/>
      </w:r>
    </w:p>
    <w:tbl>
      <w:tblPr>
        <w:tblStyle w:val="12"/>
        <w:tblW w:w="15420" w:type="dxa"/>
        <w:tblInd w:w="0" w:type="dxa"/>
        <w:tblLayout w:type="fixed"/>
        <w:tblCellMar>
          <w:top w:w="0" w:type="dxa"/>
          <w:left w:w="0" w:type="dxa"/>
          <w:bottom w:w="0" w:type="dxa"/>
          <w:right w:w="0" w:type="dxa"/>
        </w:tblCellMar>
      </w:tblPr>
      <w:tblGrid>
        <w:gridCol w:w="1862"/>
        <w:gridCol w:w="3559"/>
        <w:gridCol w:w="3327"/>
        <w:gridCol w:w="1"/>
        <w:gridCol w:w="3328"/>
        <w:gridCol w:w="3343"/>
      </w:tblGrid>
      <w:tr>
        <w:tblPrEx>
          <w:tblLayout w:type="fixed"/>
          <w:tblCellMar>
            <w:top w:w="0" w:type="dxa"/>
            <w:left w:w="0" w:type="dxa"/>
            <w:bottom w:w="0" w:type="dxa"/>
            <w:right w:w="0" w:type="dxa"/>
          </w:tblCellMar>
        </w:tblPrEx>
        <w:trPr>
          <w:cantSplit/>
          <w:trHeight w:val="545" w:hRule="atLeast"/>
        </w:trPr>
        <w:tc>
          <w:tcPr>
            <w:tcW w:w="15420" w:type="dxa"/>
            <w:gridSpan w:val="6"/>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一般公共预算财政拨款支出决算表</w:t>
            </w:r>
          </w:p>
        </w:tc>
      </w:tr>
      <w:tr>
        <w:tblPrEx>
          <w:tblLayout w:type="fixed"/>
          <w:tblCellMar>
            <w:top w:w="0" w:type="dxa"/>
            <w:left w:w="0" w:type="dxa"/>
            <w:bottom w:w="0" w:type="dxa"/>
            <w:right w:w="0" w:type="dxa"/>
          </w:tblCellMar>
        </w:tblPrEx>
        <w:trPr>
          <w:cantSplit/>
          <w:trHeight w:val="279" w:hRule="atLeast"/>
        </w:trPr>
        <w:tc>
          <w:tcPr>
            <w:tcW w:w="5421"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3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公开05表</w:t>
            </w:r>
          </w:p>
        </w:tc>
      </w:tr>
      <w:tr>
        <w:tblPrEx>
          <w:tblLayout w:type="fixed"/>
          <w:tblCellMar>
            <w:top w:w="0" w:type="dxa"/>
            <w:left w:w="0" w:type="dxa"/>
            <w:bottom w:w="0" w:type="dxa"/>
            <w:right w:w="0" w:type="dxa"/>
          </w:tblCellMar>
        </w:tblPrEx>
        <w:trPr>
          <w:cantSplit/>
          <w:trHeight w:val="279" w:hRule="atLeast"/>
        </w:trPr>
        <w:tc>
          <w:tcPr>
            <w:tcW w:w="5421"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287"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9999"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tblPrEx>
          <w:tblLayout w:type="fixed"/>
          <w:tblCellMar>
            <w:top w:w="0" w:type="dxa"/>
            <w:left w:w="0" w:type="dxa"/>
            <w:bottom w:w="0" w:type="dxa"/>
            <w:right w:w="0" w:type="dxa"/>
          </w:tblCellMar>
        </w:tblPrEx>
        <w:trPr>
          <w:cantSplit/>
          <w:trHeight w:val="312" w:hRule="atLeast"/>
        </w:trPr>
        <w:tc>
          <w:tcPr>
            <w:tcW w:w="18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55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3328"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34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tblPrEx>
          <w:tblLayout w:type="fixed"/>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287" w:hRule="atLeast"/>
        </w:trPr>
        <w:tc>
          <w:tcPr>
            <w:tcW w:w="5421"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296.12</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274.29</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261.70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239.87</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95"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备注：1.本表反映单位本年度一般公共预算财政拨款支出情况。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lang w:eastAsia="zh-CN"/>
        </w:rPr>
        <w:t>。</w:t>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4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3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251.20</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93.26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40.14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13.04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70.24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11.12</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5.54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6.95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2.45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23.09</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22.08</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1.01</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wordWrap w:val="0"/>
              <w:spacing w:before="0" w:beforeAutospacing="0" w:after="0" w:afterAutospacing="0" w:line="200" w:lineRule="exact"/>
              <w:ind w:left="0" w:right="0"/>
              <w:jc w:val="right"/>
              <w:textAlignment w:val="bottom"/>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274.29</w:t>
            </w:r>
            <w:r>
              <w:rPr>
                <w:rFonts w:hint="eastAsia" w:ascii="宋体" w:hAnsi="宋体" w:eastAsia="宋体" w:cs="Times New Roman"/>
                <w:color w:val="000000"/>
                <w:kern w:val="0"/>
                <w:sz w:val="18"/>
                <w:szCs w:val="24"/>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公用经费合计</w:t>
            </w:r>
          </w:p>
        </w:tc>
        <w:tc>
          <w:tcPr>
            <w:tcW w:w="188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pPr>
        <w:widowControl/>
        <w:spacing w:line="280" w:lineRule="exact"/>
        <w:jc w:val="left"/>
        <w:rPr>
          <w:rFonts w:hint="eastAsia"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备注：1.本表反映单位本年度一般公共预算财政拨款基本支出明细情况。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p>
    <w:p>
      <w:pPr>
        <w:pStyle w:val="2"/>
        <w:rPr>
          <w:rFonts w:hint="default"/>
        </w:rPr>
      </w:pP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7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836"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备注：本表反映单位本年度政府性基金预算财政拨款收入支出及结转和结余情况。本单位无政府性基金收支，故本表无数据。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2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2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6"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347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b/>
                <w:color w:val="000000"/>
                <w:kern w:val="0"/>
                <w:sz w:val="20"/>
                <w:szCs w:val="20"/>
              </w:rPr>
            </w:pPr>
          </w:p>
        </w:tc>
        <w:tc>
          <w:tcPr>
            <w:tcW w:w="3485"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备注：本表反映单位本年度国有资本经营预算财政拨款支出情况。本单位无国有资本经营收支，故本表无数据。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default" w:ascii="宋体" w:hAnsi="宋体" w:eastAsia="宋体" w:cs="宋体"/>
          <w:kern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2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2236"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bl>
    <w:p>
      <w:pPr>
        <w:bidi w:val="0"/>
        <w:jc w:val="left"/>
        <w:rPr>
          <w:rFonts w:hint="eastAsia"/>
          <w:lang w:val="en-US" w:eastAsia="zh-CN"/>
        </w:rPr>
      </w:pPr>
      <w:r>
        <w:rPr>
          <w:rFonts w:hint="eastAsia" w:ascii="宋体" w:hAnsi="宋体" w:eastAsia="宋体" w:cs="宋体"/>
          <w:kern w:val="0"/>
          <w:sz w:val="16"/>
          <w:szCs w:val="16"/>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eastAsia" w:ascii="宋体" w:hAnsi="宋体" w:eastAsia="宋体" w:cs="宋体"/>
          <w:kern w:val="0"/>
          <w:sz w:val="16"/>
          <w:szCs w:val="16"/>
        </w:rPr>
        <w:br w:type="textWrapping"/>
      </w:r>
      <w:r>
        <w:rPr>
          <w:rFonts w:hint="eastAsia" w:ascii="宋体" w:hAnsi="宋体" w:eastAsia="宋体" w:cs="宋体"/>
          <w:kern w:val="0"/>
          <w:sz w:val="16"/>
          <w:szCs w:val="16"/>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3E1A15-2D73-4781-BF90-68C7610199E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2" w:fontKey="{E918B046-F0E3-4380-8007-F1183605F1FE}"/>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embedRegular r:id="rId3" w:fontKey="{7C70CA81-1EDE-4FA3-86C8-21112A4622D5}"/>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auto"/>
    <w:pitch w:val="default"/>
    <w:sig w:usb0="00000001" w:usb1="080E0000" w:usb2="00000000" w:usb3="00000000" w:csb0="00040000" w:csb1="00000000"/>
    <w:embedRegular r:id="rId4" w:fontKey="{D37528B7-BD80-4B7C-96BD-0B3993310955}"/>
  </w:font>
  <w:font w:name="方正楷体_GBK">
    <w:panose1 w:val="03000509000000000000"/>
    <w:charset w:val="86"/>
    <w:family w:val="auto"/>
    <w:pitch w:val="default"/>
    <w:sig w:usb0="00000001" w:usb1="080E0000" w:usb2="00000000" w:usb3="00000000" w:csb0="00040000" w:csb1="00000000"/>
    <w:embedRegular r:id="rId5" w:fontKey="{B87F1256-37E0-45CD-BB9A-5C886913D682}"/>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ind w:firstLine="280" w:firstLineChars="100"/>
                            <w:rPr>
                              <w:rStyle w:val="11"/>
                              <w:rFonts w:ascii="宋体" w:hAnsi="宋体"/>
                              <w:sz w:val="28"/>
                              <w:szCs w:val="28"/>
                            </w:rPr>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6</w:t>
                          </w:r>
                          <w:r>
                            <w:rPr>
                              <w:rFonts w:ascii="宋体" w:hAnsi="宋体"/>
                              <w:sz w:val="28"/>
                              <w:szCs w:val="28"/>
                            </w:rPr>
                            <w:fldChar w:fldCharType="end"/>
                          </w:r>
                          <w:r>
                            <w:rPr>
                              <w:rStyle w:val="11"/>
                              <w:rFonts w:hint="eastAsia" w:ascii="宋体" w:hAnsi="宋体"/>
                              <w:sz w:val="28"/>
                              <w:szCs w:val="28"/>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3QW1FLgBAABXAwAADgAAAAAAAAABACAAAAAeAQAAZHJzL2Uyb0RvYy54bWxQSwUGAAAAAAYABgBZ&#10;AQAASAUAAAAA&#10;">
              <v:fill on="f" focussize="0,0"/>
              <v:stroke on="f"/>
              <v:imagedata o:title=""/>
              <o:lock v:ext="edit" aspectratio="f"/>
              <v:textbox inset="0mm,0mm,0mm,0mm" style="mso-fit-shape-to-text:t;">
                <w:txbxContent>
                  <w:p>
                    <w:pPr>
                      <w:pStyle w:val="5"/>
                      <w:ind w:firstLine="280" w:firstLineChars="100"/>
                      <w:rPr>
                        <w:rStyle w:val="11"/>
                        <w:rFonts w:ascii="宋体" w:hAnsi="宋体"/>
                        <w:sz w:val="28"/>
                        <w:szCs w:val="28"/>
                      </w:rPr>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6</w:t>
                    </w:r>
                    <w:r>
                      <w:rPr>
                        <w:rFonts w:ascii="宋体" w:hAnsi="宋体"/>
                        <w:sz w:val="28"/>
                        <w:szCs w:val="28"/>
                      </w:rPr>
                      <w:fldChar w:fldCharType="end"/>
                    </w:r>
                    <w:r>
                      <w:rPr>
                        <w:rStyle w:val="11"/>
                        <w:rFonts w:hint="eastAsia" w:ascii="宋体" w:hAns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both"/>
      <w:rPr>
        <w:rFonts w:hint="default" w:ascii="宋体" w:hAnsi="宋体" w:eastAsia="宋体" w:cs="Times New Roman"/>
        <w:sz w:val="18"/>
        <w:szCs w:val="18"/>
        <w:lang w:val="en-US" w:eastAsia="zh-CN" w:bidi="ar-SA"/>
      </w:rPr>
    </w:pP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v:textbox>
            </v:shape>
          </w:pict>
        </mc:Fallback>
      </mc:AlternateContent>
    </w: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758"/>
      </w:tabs>
      <w:snapToGrid w:val="0"/>
      <w:jc w:val="center"/>
      <w:rPr>
        <w:rFonts w:hint="default" w:ascii="宋体" w:hAnsi="宋体" w:eastAsia="宋体" w:cs="Times New Roman"/>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4AA855"/>
    <w:multiLevelType w:val="singleLevel"/>
    <w:tmpl w:val="DA4AA8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a1314719-7d56-4ffe-9c8d-d0bd29120eb3"/>
  </w:docVars>
  <w:rsids>
    <w:rsidRoot w:val="00172A27"/>
    <w:rsid w:val="00002817"/>
    <w:rsid w:val="00005310"/>
    <w:rsid w:val="000123FC"/>
    <w:rsid w:val="0001378C"/>
    <w:rsid w:val="00027A4D"/>
    <w:rsid w:val="00035F69"/>
    <w:rsid w:val="00066ED2"/>
    <w:rsid w:val="0009451E"/>
    <w:rsid w:val="000A4DC2"/>
    <w:rsid w:val="000A727B"/>
    <w:rsid w:val="000B56C9"/>
    <w:rsid w:val="000B6BF2"/>
    <w:rsid w:val="000D467D"/>
    <w:rsid w:val="000F14AC"/>
    <w:rsid w:val="00101793"/>
    <w:rsid w:val="00103786"/>
    <w:rsid w:val="0011209E"/>
    <w:rsid w:val="0016663B"/>
    <w:rsid w:val="0018321E"/>
    <w:rsid w:val="00183FE3"/>
    <w:rsid w:val="001846D4"/>
    <w:rsid w:val="001A22FC"/>
    <w:rsid w:val="001D5E8F"/>
    <w:rsid w:val="001E7A7C"/>
    <w:rsid w:val="00201732"/>
    <w:rsid w:val="00203A55"/>
    <w:rsid w:val="00206DD5"/>
    <w:rsid w:val="00233480"/>
    <w:rsid w:val="002368A9"/>
    <w:rsid w:val="00244FB1"/>
    <w:rsid w:val="00287ED8"/>
    <w:rsid w:val="002A3FA3"/>
    <w:rsid w:val="002B0162"/>
    <w:rsid w:val="002C1871"/>
    <w:rsid w:val="002C6D3F"/>
    <w:rsid w:val="002D0314"/>
    <w:rsid w:val="002F3FFC"/>
    <w:rsid w:val="002F4BDA"/>
    <w:rsid w:val="003263C5"/>
    <w:rsid w:val="003271DC"/>
    <w:rsid w:val="00334D49"/>
    <w:rsid w:val="003422B5"/>
    <w:rsid w:val="00342F0D"/>
    <w:rsid w:val="00367294"/>
    <w:rsid w:val="00397FF6"/>
    <w:rsid w:val="003A6EF6"/>
    <w:rsid w:val="003C477D"/>
    <w:rsid w:val="003D3F50"/>
    <w:rsid w:val="003E6458"/>
    <w:rsid w:val="003E694A"/>
    <w:rsid w:val="003E77C8"/>
    <w:rsid w:val="0040757B"/>
    <w:rsid w:val="004201D8"/>
    <w:rsid w:val="00431D19"/>
    <w:rsid w:val="00431D9D"/>
    <w:rsid w:val="00447389"/>
    <w:rsid w:val="00462504"/>
    <w:rsid w:val="004640C2"/>
    <w:rsid w:val="004A2403"/>
    <w:rsid w:val="004A3B62"/>
    <w:rsid w:val="004B4CB6"/>
    <w:rsid w:val="004C7ECB"/>
    <w:rsid w:val="004D524E"/>
    <w:rsid w:val="004D60FD"/>
    <w:rsid w:val="004E6722"/>
    <w:rsid w:val="004F6638"/>
    <w:rsid w:val="0050332E"/>
    <w:rsid w:val="00507BD0"/>
    <w:rsid w:val="005105A2"/>
    <w:rsid w:val="0055298D"/>
    <w:rsid w:val="00553C3B"/>
    <w:rsid w:val="00557A6B"/>
    <w:rsid w:val="00560113"/>
    <w:rsid w:val="0056704B"/>
    <w:rsid w:val="00590D10"/>
    <w:rsid w:val="00593BF6"/>
    <w:rsid w:val="005A2B58"/>
    <w:rsid w:val="005A5FF6"/>
    <w:rsid w:val="005B1DC9"/>
    <w:rsid w:val="005C1271"/>
    <w:rsid w:val="005C18D6"/>
    <w:rsid w:val="005C7440"/>
    <w:rsid w:val="005D3C9C"/>
    <w:rsid w:val="005E2312"/>
    <w:rsid w:val="00610252"/>
    <w:rsid w:val="00614F2B"/>
    <w:rsid w:val="0061683B"/>
    <w:rsid w:val="006326EA"/>
    <w:rsid w:val="0064107F"/>
    <w:rsid w:val="00655F8F"/>
    <w:rsid w:val="00676506"/>
    <w:rsid w:val="006B70F3"/>
    <w:rsid w:val="006C44EE"/>
    <w:rsid w:val="00712970"/>
    <w:rsid w:val="007148F9"/>
    <w:rsid w:val="00714F27"/>
    <w:rsid w:val="00721442"/>
    <w:rsid w:val="00732CB0"/>
    <w:rsid w:val="00737172"/>
    <w:rsid w:val="00737FC0"/>
    <w:rsid w:val="00740F31"/>
    <w:rsid w:val="00745CFA"/>
    <w:rsid w:val="00763D54"/>
    <w:rsid w:val="00776071"/>
    <w:rsid w:val="007775DD"/>
    <w:rsid w:val="007B24E6"/>
    <w:rsid w:val="007B4855"/>
    <w:rsid w:val="007B602B"/>
    <w:rsid w:val="007C3601"/>
    <w:rsid w:val="007E226E"/>
    <w:rsid w:val="007E712D"/>
    <w:rsid w:val="007E78E0"/>
    <w:rsid w:val="007F3F35"/>
    <w:rsid w:val="00814421"/>
    <w:rsid w:val="008511E9"/>
    <w:rsid w:val="008916A6"/>
    <w:rsid w:val="008A5284"/>
    <w:rsid w:val="008C6800"/>
    <w:rsid w:val="008E0F97"/>
    <w:rsid w:val="008E6956"/>
    <w:rsid w:val="008F2163"/>
    <w:rsid w:val="008F4F1E"/>
    <w:rsid w:val="00902B2E"/>
    <w:rsid w:val="00921F87"/>
    <w:rsid w:val="00925EB5"/>
    <w:rsid w:val="0094540C"/>
    <w:rsid w:val="00950490"/>
    <w:rsid w:val="00953F82"/>
    <w:rsid w:val="00955664"/>
    <w:rsid w:val="009627A9"/>
    <w:rsid w:val="009657B7"/>
    <w:rsid w:val="00974DB7"/>
    <w:rsid w:val="00997237"/>
    <w:rsid w:val="009A27C7"/>
    <w:rsid w:val="009B3DD6"/>
    <w:rsid w:val="009B3F5B"/>
    <w:rsid w:val="009C4BB5"/>
    <w:rsid w:val="009E1B08"/>
    <w:rsid w:val="009F21EC"/>
    <w:rsid w:val="009F57EC"/>
    <w:rsid w:val="00A26D8D"/>
    <w:rsid w:val="00A34D67"/>
    <w:rsid w:val="00A40E01"/>
    <w:rsid w:val="00A45960"/>
    <w:rsid w:val="00A6248F"/>
    <w:rsid w:val="00AC75D2"/>
    <w:rsid w:val="00AD738D"/>
    <w:rsid w:val="00B10FF3"/>
    <w:rsid w:val="00B168E3"/>
    <w:rsid w:val="00B2240E"/>
    <w:rsid w:val="00B261C5"/>
    <w:rsid w:val="00B31A6C"/>
    <w:rsid w:val="00B3427F"/>
    <w:rsid w:val="00B53136"/>
    <w:rsid w:val="00B62366"/>
    <w:rsid w:val="00B71030"/>
    <w:rsid w:val="00B8572F"/>
    <w:rsid w:val="00B90A28"/>
    <w:rsid w:val="00BB4A86"/>
    <w:rsid w:val="00BB60D7"/>
    <w:rsid w:val="00BC774E"/>
    <w:rsid w:val="00BD6F93"/>
    <w:rsid w:val="00BE0EB5"/>
    <w:rsid w:val="00C07007"/>
    <w:rsid w:val="00C269CE"/>
    <w:rsid w:val="00C3124D"/>
    <w:rsid w:val="00C46D96"/>
    <w:rsid w:val="00C62BFE"/>
    <w:rsid w:val="00C968E1"/>
    <w:rsid w:val="00CA4C84"/>
    <w:rsid w:val="00CA4DB2"/>
    <w:rsid w:val="00CB0E74"/>
    <w:rsid w:val="00CD0CC2"/>
    <w:rsid w:val="00CD2D2D"/>
    <w:rsid w:val="00CD3D5D"/>
    <w:rsid w:val="00CE3C26"/>
    <w:rsid w:val="00CE4249"/>
    <w:rsid w:val="00CF6472"/>
    <w:rsid w:val="00D04EFE"/>
    <w:rsid w:val="00D12D69"/>
    <w:rsid w:val="00D42CA8"/>
    <w:rsid w:val="00D84D3A"/>
    <w:rsid w:val="00D92AD9"/>
    <w:rsid w:val="00DA0E99"/>
    <w:rsid w:val="00DA107A"/>
    <w:rsid w:val="00DA5BEC"/>
    <w:rsid w:val="00DB7ED6"/>
    <w:rsid w:val="00DD2186"/>
    <w:rsid w:val="00DD40A8"/>
    <w:rsid w:val="00DD5EA2"/>
    <w:rsid w:val="00DD6CB0"/>
    <w:rsid w:val="00DE3772"/>
    <w:rsid w:val="00DF3C19"/>
    <w:rsid w:val="00E15367"/>
    <w:rsid w:val="00E426C6"/>
    <w:rsid w:val="00E74650"/>
    <w:rsid w:val="00E76958"/>
    <w:rsid w:val="00E867BE"/>
    <w:rsid w:val="00EA3BDA"/>
    <w:rsid w:val="00EC756F"/>
    <w:rsid w:val="00EE0247"/>
    <w:rsid w:val="00EF7F40"/>
    <w:rsid w:val="00F230DE"/>
    <w:rsid w:val="00F27B61"/>
    <w:rsid w:val="00F45C4C"/>
    <w:rsid w:val="00F5441A"/>
    <w:rsid w:val="00F550F0"/>
    <w:rsid w:val="00F625D6"/>
    <w:rsid w:val="00F67F21"/>
    <w:rsid w:val="00F71511"/>
    <w:rsid w:val="00F91026"/>
    <w:rsid w:val="00FB0077"/>
    <w:rsid w:val="00FB0C51"/>
    <w:rsid w:val="00FB7A5A"/>
    <w:rsid w:val="00FF2822"/>
    <w:rsid w:val="01B7101A"/>
    <w:rsid w:val="02200C9B"/>
    <w:rsid w:val="031418F0"/>
    <w:rsid w:val="03655CA8"/>
    <w:rsid w:val="04415D9F"/>
    <w:rsid w:val="04745DAC"/>
    <w:rsid w:val="0511546C"/>
    <w:rsid w:val="062F72C7"/>
    <w:rsid w:val="07CA0614"/>
    <w:rsid w:val="08074BF6"/>
    <w:rsid w:val="083F0ECA"/>
    <w:rsid w:val="0A3D472E"/>
    <w:rsid w:val="0C894040"/>
    <w:rsid w:val="0E3049F6"/>
    <w:rsid w:val="10196798"/>
    <w:rsid w:val="10BB784F"/>
    <w:rsid w:val="126A2680"/>
    <w:rsid w:val="1309342C"/>
    <w:rsid w:val="17882905"/>
    <w:rsid w:val="17AA3585"/>
    <w:rsid w:val="17EB7749"/>
    <w:rsid w:val="18003D99"/>
    <w:rsid w:val="19F34E52"/>
    <w:rsid w:val="1D211903"/>
    <w:rsid w:val="22664BF7"/>
    <w:rsid w:val="23835E78"/>
    <w:rsid w:val="25832A0F"/>
    <w:rsid w:val="25C26920"/>
    <w:rsid w:val="28C3615F"/>
    <w:rsid w:val="28E26883"/>
    <w:rsid w:val="29743B0E"/>
    <w:rsid w:val="29EE0B9A"/>
    <w:rsid w:val="2A5C7555"/>
    <w:rsid w:val="2A9F38E6"/>
    <w:rsid w:val="2B871CB8"/>
    <w:rsid w:val="2D3E73E6"/>
    <w:rsid w:val="2FC31DF6"/>
    <w:rsid w:val="2FD144C1"/>
    <w:rsid w:val="30D74EFB"/>
    <w:rsid w:val="32EA4E40"/>
    <w:rsid w:val="331F1FBA"/>
    <w:rsid w:val="34E55713"/>
    <w:rsid w:val="350745B3"/>
    <w:rsid w:val="357A2F85"/>
    <w:rsid w:val="35C43369"/>
    <w:rsid w:val="369B1F57"/>
    <w:rsid w:val="387764A0"/>
    <w:rsid w:val="396E4FE1"/>
    <w:rsid w:val="3B844B5E"/>
    <w:rsid w:val="3D6179E7"/>
    <w:rsid w:val="3E8A3FD7"/>
    <w:rsid w:val="413959DE"/>
    <w:rsid w:val="43451C87"/>
    <w:rsid w:val="440D3FB0"/>
    <w:rsid w:val="44AF467D"/>
    <w:rsid w:val="44BE13A8"/>
    <w:rsid w:val="47501B86"/>
    <w:rsid w:val="49282FCC"/>
    <w:rsid w:val="49AA4CAE"/>
    <w:rsid w:val="49B61919"/>
    <w:rsid w:val="4C2F0FB3"/>
    <w:rsid w:val="4D0C6761"/>
    <w:rsid w:val="4F713D10"/>
    <w:rsid w:val="5090593C"/>
    <w:rsid w:val="52495D62"/>
    <w:rsid w:val="534C14A4"/>
    <w:rsid w:val="53A23DB1"/>
    <w:rsid w:val="54B65CA1"/>
    <w:rsid w:val="55EB1088"/>
    <w:rsid w:val="56FE485C"/>
    <w:rsid w:val="58020E8D"/>
    <w:rsid w:val="591C3FE0"/>
    <w:rsid w:val="598839CF"/>
    <w:rsid w:val="59E0363A"/>
    <w:rsid w:val="5ACC425D"/>
    <w:rsid w:val="5B3B41F7"/>
    <w:rsid w:val="5DF92C71"/>
    <w:rsid w:val="603866CE"/>
    <w:rsid w:val="60F36677"/>
    <w:rsid w:val="61E66498"/>
    <w:rsid w:val="62DD5D1E"/>
    <w:rsid w:val="63B020AD"/>
    <w:rsid w:val="645070B8"/>
    <w:rsid w:val="64861899"/>
    <w:rsid w:val="64B92960"/>
    <w:rsid w:val="658D5B50"/>
    <w:rsid w:val="6672718B"/>
    <w:rsid w:val="6BE7453B"/>
    <w:rsid w:val="6C1F5499"/>
    <w:rsid w:val="6E2E1D13"/>
    <w:rsid w:val="6EFB4522"/>
    <w:rsid w:val="7047527A"/>
    <w:rsid w:val="70566018"/>
    <w:rsid w:val="70F51137"/>
    <w:rsid w:val="71635CD5"/>
    <w:rsid w:val="716E315A"/>
    <w:rsid w:val="71AA1DBA"/>
    <w:rsid w:val="721F4432"/>
    <w:rsid w:val="73D359AB"/>
    <w:rsid w:val="75416A24"/>
    <w:rsid w:val="76C375E1"/>
    <w:rsid w:val="76FF5C3D"/>
    <w:rsid w:val="78647065"/>
    <w:rsid w:val="786767E3"/>
    <w:rsid w:val="786B1CDE"/>
    <w:rsid w:val="79971819"/>
    <w:rsid w:val="7A274BDB"/>
    <w:rsid w:val="7B292227"/>
    <w:rsid w:val="7BB0050C"/>
    <w:rsid w:val="7DE337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ody Text"/>
    <w:basedOn w:val="1"/>
    <w:next w:val="3"/>
    <w:link w:val="27"/>
    <w:qFormat/>
    <w:uiPriority w:val="1"/>
    <w:pPr>
      <w:autoSpaceDE w:val="0"/>
      <w:autoSpaceDN w:val="0"/>
      <w:jc w:val="left"/>
    </w:pPr>
    <w:rPr>
      <w:rFonts w:ascii="方正仿宋_GBK" w:hAnsi="方正仿宋_GBK" w:eastAsia="方正仿宋_GBK" w:cs="方正仿宋_GBK"/>
      <w:kern w:val="0"/>
      <w:sz w:val="32"/>
      <w:szCs w:val="32"/>
      <w:lang w:val="zh-CN" w:bidi="zh-CN"/>
    </w:rPr>
  </w:style>
  <w:style w:type="paragraph" w:styleId="3">
    <w:name w:val="Date"/>
    <w:basedOn w:val="1"/>
    <w:next w:val="1"/>
    <w:link w:val="26"/>
    <w:uiPriority w:val="99"/>
    <w:pPr>
      <w:ind w:left="100" w:leftChars="2500"/>
    </w:pPr>
    <w:rPr>
      <w:rFonts w:ascii="Times New Roman" w:hAnsi="Times New Roman" w:eastAsia="宋体" w:cs="Times New Roman"/>
      <w:szCs w:val="24"/>
    </w:rPr>
  </w:style>
  <w:style w:type="paragraph" w:styleId="4">
    <w:name w:val="Body Text First Indent"/>
    <w:basedOn w:val="2"/>
    <w:qFormat/>
    <w:uiPriority w:val="0"/>
    <w:pPr>
      <w:ind w:firstLine="420" w:firstLineChars="100"/>
    </w:pPr>
  </w:style>
  <w:style w:type="paragraph" w:styleId="5">
    <w:name w:val="footer"/>
    <w:basedOn w:val="1"/>
    <w:link w:val="20"/>
    <w:unhideWhenUsed/>
    <w:qFormat/>
    <w:uiPriority w:val="0"/>
    <w:pPr>
      <w:tabs>
        <w:tab w:val="center" w:pos="4153"/>
        <w:tab w:val="right" w:pos="8306"/>
      </w:tabs>
      <w:snapToGrid w:val="0"/>
      <w:jc w:val="left"/>
    </w:pPr>
    <w:rPr>
      <w:sz w:val="18"/>
      <w:szCs w:val="18"/>
    </w:rPr>
  </w:style>
  <w:style w:type="paragraph" w:styleId="6">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spacing w:before="100" w:beforeAutospacing="1" w:after="100" w:afterAutospacing="1"/>
    </w:pPr>
  </w:style>
  <w:style w:type="paragraph" w:styleId="8">
    <w:name w:val="Title"/>
    <w:basedOn w:val="1"/>
    <w:next w:val="1"/>
    <w:link w:val="24"/>
    <w:qFormat/>
    <w:uiPriority w:val="0"/>
    <w:pPr>
      <w:spacing w:before="240" w:after="60"/>
      <w:jc w:val="center"/>
      <w:outlineLvl w:val="0"/>
    </w:pPr>
    <w:rPr>
      <w:rFonts w:ascii="Cambria" w:hAnsi="Cambria"/>
      <w:b/>
      <w:bCs/>
      <w:sz w:val="32"/>
      <w:szCs w:val="32"/>
    </w:rPr>
  </w:style>
  <w:style w:type="character" w:styleId="10">
    <w:name w:val="Strong"/>
    <w:basedOn w:val="9"/>
    <w:qFormat/>
    <w:uiPriority w:val="22"/>
    <w:rPr>
      <w:b/>
      <w:bCs/>
    </w:rPr>
  </w:style>
  <w:style w:type="character" w:styleId="11">
    <w:name w:val="page number"/>
    <w:basedOn w:val="9"/>
    <w:qFormat/>
    <w:uiPriority w:val="0"/>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p0"/>
    <w:basedOn w:val="1"/>
    <w:qFormat/>
    <w:uiPriority w:val="0"/>
    <w:pPr>
      <w:widowControl/>
      <w:jc w:val="left"/>
    </w:pPr>
    <w:rPr>
      <w:rFonts w:ascii="宋体" w:hAnsi="宋体" w:eastAsia="仿宋_GB2312" w:cs="宋体"/>
      <w:kern w:val="0"/>
      <w:sz w:val="24"/>
      <w:szCs w:val="24"/>
    </w:rPr>
  </w:style>
  <w:style w:type="paragraph" w:customStyle="1" w:styleId="1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7">
    <w:name w:val="List Paragraph"/>
    <w:basedOn w:val="1"/>
    <w:qFormat/>
    <w:uiPriority w:val="34"/>
    <w:pPr>
      <w:ind w:firstLine="420" w:firstLineChars="200"/>
    </w:pPr>
  </w:style>
  <w:style w:type="paragraph" w:customStyle="1" w:styleId="18">
    <w:name w:val="Heading 1"/>
    <w:basedOn w:val="1"/>
    <w:qFormat/>
    <w:uiPriority w:val="1"/>
    <w:pPr>
      <w:autoSpaceDE w:val="0"/>
      <w:autoSpaceDN w:val="0"/>
      <w:ind w:left="226"/>
      <w:jc w:val="left"/>
      <w:outlineLvl w:val="1"/>
    </w:pPr>
    <w:rPr>
      <w:rFonts w:ascii="方正小标宋_GBK" w:hAnsi="方正小标宋_GBK" w:eastAsia="方正小标宋_GBK" w:cs="方正小标宋_GBK"/>
      <w:kern w:val="0"/>
      <w:sz w:val="44"/>
      <w:szCs w:val="44"/>
      <w:lang w:val="zh-CN" w:bidi="zh-CN"/>
    </w:rPr>
  </w:style>
  <w:style w:type="paragraph" w:customStyle="1" w:styleId="19">
    <w:name w:val="列出段落1"/>
    <w:basedOn w:val="1"/>
    <w:qFormat/>
    <w:uiPriority w:val="99"/>
    <w:pPr>
      <w:ind w:firstLine="420" w:firstLineChars="200"/>
    </w:pPr>
    <w:rPr>
      <w:rFonts w:hint="default"/>
    </w:rPr>
  </w:style>
  <w:style w:type="character" w:customStyle="1" w:styleId="20">
    <w:name w:val="页脚 Char"/>
    <w:basedOn w:val="9"/>
    <w:link w:val="5"/>
    <w:semiHidden/>
    <w:qFormat/>
    <w:uiPriority w:val="99"/>
    <w:rPr>
      <w:sz w:val="18"/>
      <w:szCs w:val="18"/>
    </w:rPr>
  </w:style>
  <w:style w:type="character" w:customStyle="1" w:styleId="21">
    <w:name w:val="17"/>
    <w:basedOn w:val="9"/>
    <w:qFormat/>
    <w:uiPriority w:val="0"/>
    <w:rPr>
      <w:rFonts w:hint="default" w:ascii="Times New Roman" w:hAnsi="Times New Roman" w:cs="Times New Roman"/>
      <w:b/>
    </w:rPr>
  </w:style>
  <w:style w:type="character" w:customStyle="1" w:styleId="22">
    <w:name w:val="font01"/>
    <w:basedOn w:val="9"/>
    <w:uiPriority w:val="0"/>
    <w:rPr>
      <w:rFonts w:hint="default" w:ascii="Calibri" w:hAnsi="Calibri" w:cs="Calibri"/>
      <w:color w:val="000000"/>
      <w:sz w:val="24"/>
      <w:szCs w:val="24"/>
      <w:u w:val="none"/>
    </w:rPr>
  </w:style>
  <w:style w:type="character" w:customStyle="1" w:styleId="23">
    <w:name w:val="font21"/>
    <w:basedOn w:val="9"/>
    <w:qFormat/>
    <w:uiPriority w:val="0"/>
    <w:rPr>
      <w:rFonts w:hint="eastAsia" w:ascii="宋体" w:hAnsi="宋体" w:eastAsia="宋体" w:cs="宋体"/>
      <w:color w:val="000000"/>
      <w:sz w:val="24"/>
      <w:szCs w:val="24"/>
      <w:u w:val="none"/>
    </w:rPr>
  </w:style>
  <w:style w:type="character" w:customStyle="1" w:styleId="24">
    <w:name w:val="标题 Char1"/>
    <w:basedOn w:val="9"/>
    <w:link w:val="8"/>
    <w:qFormat/>
    <w:uiPriority w:val="10"/>
    <w:rPr>
      <w:rFonts w:ascii="Cambria" w:hAnsi="Cambria" w:eastAsia="宋体" w:cs="Times New Roman"/>
      <w:b/>
      <w:bCs/>
      <w:sz w:val="32"/>
      <w:szCs w:val="32"/>
    </w:rPr>
  </w:style>
  <w:style w:type="character" w:customStyle="1" w:styleId="25">
    <w:name w:val="font11"/>
    <w:basedOn w:val="9"/>
    <w:qFormat/>
    <w:uiPriority w:val="0"/>
    <w:rPr>
      <w:rFonts w:hint="eastAsia" w:ascii="宋体" w:hAnsi="宋体" w:eastAsia="宋体" w:cs="宋体"/>
      <w:b/>
      <w:color w:val="000000"/>
      <w:sz w:val="28"/>
      <w:szCs w:val="28"/>
      <w:u w:val="none"/>
    </w:rPr>
  </w:style>
  <w:style w:type="character" w:customStyle="1" w:styleId="26">
    <w:name w:val="日期 Char"/>
    <w:basedOn w:val="9"/>
    <w:link w:val="3"/>
    <w:qFormat/>
    <w:uiPriority w:val="99"/>
    <w:rPr>
      <w:rFonts w:ascii="Times New Roman" w:hAnsi="Times New Roman" w:eastAsia="宋体" w:cs="Times New Roman"/>
      <w:szCs w:val="24"/>
    </w:rPr>
  </w:style>
  <w:style w:type="character" w:customStyle="1" w:styleId="27">
    <w:name w:val="正文文本 Char"/>
    <w:basedOn w:val="9"/>
    <w:link w:val="2"/>
    <w:qFormat/>
    <w:uiPriority w:val="1"/>
    <w:rPr>
      <w:rFonts w:ascii="方正仿宋_GBK" w:hAnsi="方正仿宋_GBK" w:eastAsia="方正仿宋_GBK" w:cs="方正仿宋_GBK"/>
      <w:sz w:val="32"/>
      <w:szCs w:val="32"/>
      <w:lang w:val="zh-CN" w:bidi="zh-CN"/>
    </w:rPr>
  </w:style>
  <w:style w:type="character" w:customStyle="1" w:styleId="28">
    <w:name w:val="25"/>
    <w:basedOn w:val="9"/>
    <w:qFormat/>
    <w:uiPriority w:val="0"/>
    <w:rPr>
      <w:rFonts w:hint="default" w:ascii="Times New Roman" w:hAnsi="Times New Roman" w:cs="Times New Roman"/>
      <w:b/>
    </w:rPr>
  </w:style>
  <w:style w:type="character" w:customStyle="1" w:styleId="29">
    <w:name w:val="20"/>
    <w:basedOn w:val="9"/>
    <w:qFormat/>
    <w:uiPriority w:val="0"/>
    <w:rPr>
      <w:rFonts w:hint="default" w:ascii="Times New Roman" w:hAnsi="Times New Roman" w:cs="Times New Roman"/>
      <w:b/>
    </w:rPr>
  </w:style>
  <w:style w:type="character" w:customStyle="1" w:styleId="30">
    <w:name w:val="标题 Char"/>
    <w:basedOn w:val="9"/>
    <w:qFormat/>
    <w:uiPriority w:val="0"/>
    <w:rPr>
      <w:rFonts w:ascii="Cambria" w:hAnsi="Cambria"/>
      <w:b/>
      <w:bCs/>
      <w:sz w:val="32"/>
      <w:szCs w:val="32"/>
    </w:rPr>
  </w:style>
  <w:style w:type="character" w:customStyle="1" w:styleId="31">
    <w:name w:val="font121"/>
    <w:basedOn w:val="9"/>
    <w:qFormat/>
    <w:uiPriority w:val="0"/>
    <w:rPr>
      <w:rFonts w:hint="default" w:ascii="Tahoma" w:hAnsi="Tahoma" w:eastAsia="Tahoma" w:cs="Tahoma"/>
      <w:b/>
      <w:color w:val="000000"/>
      <w:sz w:val="28"/>
      <w:szCs w:val="28"/>
      <w:u w:val="none"/>
    </w:rPr>
  </w:style>
  <w:style w:type="character" w:customStyle="1" w:styleId="32">
    <w:name w:val="页眉 Char"/>
    <w:basedOn w:val="9"/>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21</Pages>
  <Words>8142</Words>
  <Characters>10004</Characters>
  <Lines>1</Lines>
  <Paragraphs>1</Paragraphs>
  <TotalTime>1</TotalTime>
  <ScaleCrop>false</ScaleCrop>
  <LinksUpToDate>false</LinksUpToDate>
  <CharactersWithSpaces>11108</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2022-10-08T09:06:00Z</dcterms:created>
  <dc:creator>廖雪慧</dc:creator>
  <cp:lastModifiedBy>冉淇元</cp:lastModifiedBy>
  <cp:lastPrinted>2021-09-13T07:01:00Z</cp:lastPrinted>
  <dcterms:modified xsi:type="dcterms:W3CDTF">2025-12-17T06:48:36Z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E88FEF3F77764A4EB03916B00D1A68F3</vt:lpwstr>
  </property>
</Properties>
</file>