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w:t>
      </w:r>
      <w:r>
        <w:rPr>
          <w:rFonts w:hint="eastAsia" w:ascii="Times New Roman" w:hAnsi="Times New Roman" w:eastAsia="方正小标宋_GBK" w:cs="Times New Roman"/>
          <w:sz w:val="44"/>
          <w:szCs w:val="44"/>
          <w:lang w:eastAsia="zh-CN"/>
        </w:rPr>
        <w:t>土家族苗族自治县</w:t>
      </w:r>
      <w:r>
        <w:rPr>
          <w:rFonts w:hint="eastAsia" w:ascii="Times New Roman" w:hAnsi="Times New Roman" w:eastAsia="方正小标宋_GBK" w:cs="Times New Roman"/>
          <w:sz w:val="44"/>
          <w:szCs w:val="44"/>
          <w:lang w:val="en-US" w:eastAsia="zh-CN"/>
        </w:rPr>
        <w:t>总工会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w:t>
      </w:r>
      <w:r>
        <w:rPr>
          <w:rFonts w:hint="eastAsia"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7"/>
        <w:keepNext w:val="0"/>
        <w:keepLines w:val="0"/>
        <w:pageBreakBefore w:val="0"/>
        <w:widowControl/>
        <w:kinsoku/>
        <w:overflowPunct/>
        <w:topLinePunct w:val="0"/>
        <w:autoSpaceDN/>
        <w:bidi w:val="0"/>
        <w:adjustRightInd/>
        <w:spacing w:before="0" w:beforeAutospacing="0" w:after="0" w:afterAutospacing="0" w:line="560" w:lineRule="exact"/>
        <w:jc w:val="center"/>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eastAsia"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9"/>
          <w:rFonts w:hint="default" w:ascii="Times New Roman" w:hAnsi="Times New Roman" w:eastAsia="方正楷体_GBK" w:cs="Times New Roman"/>
          <w:b w:val="0"/>
          <w:bCs/>
          <w:sz w:val="32"/>
          <w:szCs w:val="32"/>
          <w:shd w:val="clear" w:color="auto" w:fill="FFFFFF"/>
        </w:rPr>
        <w:t>（一）职能职责</w:t>
      </w:r>
    </w:p>
    <w:p>
      <w:pPr>
        <w:spacing w:line="600" w:lineRule="exact"/>
        <w:ind w:firstLine="640" w:firstLineChars="200"/>
        <w:jc w:val="both"/>
        <w:rPr>
          <w:rFonts w:hint="default" w:ascii="Times New Roman" w:hAnsi="Times New Roman" w:eastAsia="方正仿宋_GBK"/>
          <w:sz w:val="32"/>
          <w:szCs w:val="32"/>
        </w:rPr>
      </w:pPr>
      <w:r>
        <w:rPr>
          <w:rFonts w:hint="eastAsia" w:ascii="方正仿宋_GBK" w:hAnsi="方正仿宋_GBK" w:eastAsia="方正仿宋_GBK" w:cs="方正仿宋_GBK"/>
          <w:sz w:val="32"/>
          <w:szCs w:val="32"/>
        </w:rPr>
        <w:t>按照秀山编委〔2016〕21号文件精神，秀山土家族苗族自治县总工会机构改革后，设综合部、基层部2个内设机构。主要职责：一是坚持党的领导；二是加强对广大职工的政治引领和思想引导；三是依法依章独立自主开展工作；四是团结动员广大职工干事创业；五是突出代表维护职工权益的职责；六是拓宽工会组织覆盖；七是拓宽工会工作覆盖；八是积极参与社会治理；九是发挥民主参与和社会监督作用；十是研究指导工会自身改革和建设</w:t>
      </w:r>
      <w:r>
        <w:rPr>
          <w:rFonts w:hint="default" w:ascii="Times New Roman" w:hAnsi="方正仿宋_GBK" w:eastAsia="方正仿宋_GBK"/>
          <w:sz w:val="32"/>
          <w:szCs w:val="32"/>
        </w:rPr>
        <w:t>。</w:t>
      </w:r>
    </w:p>
    <w:p>
      <w:pPr>
        <w:autoSpaceDE w:val="0"/>
        <w:autoSpaceDN w:val="0"/>
        <w:adjustRightInd w:val="0"/>
        <w:spacing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部：负责文电、会务、档案等机关日常运转工作，负责安全保密、信息报送、年度统计等工作，承担县工会代表大会、全委会、常委会等重要会议和重大活动的组织协调工作。负责工会经费的“收、管、用”和工会财务的管理工作。负责工会行政性资产、县总工会机关行政经费的管理工作。依法加强全县工会经费收支和资产管理进行审查。</w:t>
      </w:r>
    </w:p>
    <w:p>
      <w:pPr>
        <w:autoSpaceDE w:val="0"/>
        <w:autoSpaceDN w:val="0"/>
        <w:adjustRightInd w:val="0"/>
        <w:spacing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rPr>
        <w:t>基层部：负责全县工会干部教育培训工作的统筹规划，负责县工会代表大会和全委会有关人事问题的具体组织工作。负责制定工会基层组织建设规划和制度，指导和推进新阶层（包括青年职工、农民工）的入会工作。负责依法推动基层单位建立和完善职工代表大会、厂务公开制度，平等协商和集体合同制度等工作。负责女职工委员会的日常工作。负责推动实施社会主义劳动竞赛、职工群众性经济技术创新活动，指导和推动职工技术协作等，参与全县经济建设、经济改革有关规划和政策措施的研究制定，承担全国、重庆市劳动模范和先进工作者、“五一”劳动奖状（章）、工人先锋号的推荐评选和管理服务具体工作。研究制定工会服务职工群众的项目规划，指导乡镇（街道）、系统职工服务站及基层服务点建设。</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rPr>
      </w:pPr>
      <w:r>
        <w:rPr>
          <w:rStyle w:val="9"/>
          <w:rFonts w:hint="eastAsia" w:ascii="Times New Roman" w:hAnsi="Times New Roman" w:eastAsia="方正楷体_GBK" w:cs="Times New Roman"/>
          <w:b w:val="0"/>
          <w:bCs/>
          <w:sz w:val="32"/>
          <w:szCs w:val="32"/>
          <w:shd w:val="clear" w:color="auto" w:fill="FFFFFF"/>
        </w:rPr>
        <w:t>（二）机构设置</w:t>
      </w:r>
      <w:r>
        <w:rPr>
          <w:rStyle w:val="9"/>
          <w:rFonts w:hint="eastAsia" w:ascii="Times New Roman" w:hAnsi="Times New Roman" w:eastAsia="方正楷体_GBK" w:cs="Times New Roman"/>
          <w:b w:val="0"/>
          <w:bCs/>
          <w:sz w:val="32"/>
          <w:szCs w:val="32"/>
          <w:shd w:val="clear" w:color="auto" w:fill="FFFFFF"/>
          <w:lang w:val="en-US" w:eastAsia="zh-CN"/>
        </w:rPr>
        <w:t xml:space="preserve"> </w:t>
      </w:r>
    </w:p>
    <w:p>
      <w:pPr>
        <w:autoSpaceDE w:val="0"/>
        <w:autoSpaceDN w:val="0"/>
        <w:adjustRightInd w:val="0"/>
        <w:spacing w:line="60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秀山土家族苗族自治县总工会，一级预算单位。人员编制和领导职数。核定财政全额拨款事业编制</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名；核定领导职数</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正</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副，其中专职</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正</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副，兼（挂）副职</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名；内设机构领导职数</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color w:val="4874CB" w:themeColor="accent1"/>
          <w:sz w:val="32"/>
          <w:szCs w:val="32"/>
          <w:shd w:val="clear" w:color="auto" w:fill="FFFFFF"/>
          <w14:textFill>
            <w14:solidFill>
              <w14:schemeClr w14:val="accent1"/>
            </w14:solidFill>
          </w14:textFill>
        </w:rPr>
      </w:pPr>
      <w:r>
        <w:rPr>
          <w:rStyle w:val="9"/>
          <w:rFonts w:hint="eastAsia" w:ascii="Times New Roman" w:hAnsi="Times New Roman" w:eastAsia="方正黑体_GBK" w:cs="Times New Roman"/>
          <w:b w:val="0"/>
          <w:bCs/>
          <w:sz w:val="32"/>
          <w:szCs w:val="32"/>
          <w:shd w:val="clear" w:color="auto" w:fill="FFFFFF"/>
          <w:lang w:eastAsia="zh-CN"/>
        </w:rPr>
        <w:t>二、</w:t>
      </w:r>
      <w:r>
        <w:rPr>
          <w:rStyle w:val="9"/>
          <w:rFonts w:hint="default" w:ascii="Times New Roman" w:hAnsi="Times New Roman" w:eastAsia="方正黑体_GBK" w:cs="Times New Roman"/>
          <w:b w:val="0"/>
          <w:bCs/>
          <w:sz w:val="32"/>
          <w:szCs w:val="32"/>
          <w:shd w:val="clear" w:color="auto" w:fill="FFFFFF"/>
        </w:rPr>
        <w:t>部门决算情况说明</w:t>
      </w:r>
      <w:r>
        <w:rPr>
          <w:rStyle w:val="9"/>
          <w:rFonts w:hint="default" w:ascii="Times New Roman" w:hAnsi="Times New Roman" w:eastAsia="方正黑体_GBK" w:cs="Times New Roman"/>
          <w:b w:val="0"/>
          <w:bCs/>
          <w:sz w:val="32"/>
          <w:szCs w:val="32"/>
          <w:shd w:val="clear" w:color="auto" w:fill="FFFFFF"/>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13"/>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w:t>
      </w:r>
      <w:r>
        <w:rPr>
          <w:rFonts w:hint="eastAsia"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cs="Times New Roman"/>
          <w:sz w:val="32"/>
          <w:szCs w:val="32"/>
          <w:shd w:val="clear" w:color="auto" w:fill="FFFFFF"/>
          <w:lang w:val="en-US" w:eastAsia="zh-CN"/>
        </w:rPr>
        <w:t>269.41</w:t>
      </w:r>
      <w:r>
        <w:rPr>
          <w:rFonts w:hint="eastAsia"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cs="Times New Roman"/>
          <w:sz w:val="32"/>
          <w:szCs w:val="32"/>
          <w:lang w:val="en-US" w:eastAsia="zh-CN"/>
        </w:rPr>
        <w:t>269.41</w:t>
      </w:r>
      <w:r>
        <w:rPr>
          <w:rFonts w:hint="eastAsia" w:ascii="方正仿宋_GBK" w:hAnsi="方正仿宋_GBK" w:eastAsia="方正仿宋_GBK" w:cs="方正仿宋_GBK"/>
          <w:sz w:val="32"/>
          <w:szCs w:val="32"/>
          <w:shd w:val="clear" w:color="auto" w:fill="FFFFFF"/>
        </w:rPr>
        <w:t>万元。收支较上年决算数</w:t>
      </w:r>
      <w:r>
        <w:rPr>
          <w:rFonts w:hint="eastAsia" w:ascii="方正仿宋_GBK" w:hAnsi="方正仿宋_GBK" w:eastAsia="方正仿宋_GBK" w:cs="方正仿宋_GBK"/>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.72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上升</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召开县总工会第十二次代表大会，运行经费增加。</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Times New Roman" w:hAnsi="方正仿宋_GBK" w:eastAsia="方正仿宋_GBK"/>
          <w:color w:val="auto"/>
          <w:sz w:val="32"/>
          <w:szCs w:val="32"/>
          <w:shd w:val="clear" w:color="auto" w:fill="FFFFFF"/>
          <w:lang w:val="en-US" w:eastAsia="zh-CN"/>
        </w:rPr>
        <w:t>主要原因召开县总工会第十二次代表大会，运行经费增加。</w:t>
      </w:r>
      <w:r>
        <w:rPr>
          <w:rFonts w:hint="default" w:ascii="Times New Roman" w:hAnsi="方正仿宋_GBK" w:eastAsia="方正仿宋_GBK"/>
          <w:sz w:val="32"/>
          <w:szCs w:val="32"/>
          <w:shd w:val="clear" w:color="auto" w:fill="FFFFFF"/>
        </w:rPr>
        <w:t>其中：财政拨款收入</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hint="eastAsia" w:ascii="Times New Roman" w:eastAsia="方正仿宋_GBK"/>
          <w:sz w:val="27"/>
          <w:szCs w:val="27"/>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eastAsia" w:ascii="Times New Roman" w:hAnsi="Times New Roman" w:eastAsia="方正仿宋_GBK" w:cs="Times New Roman"/>
          <w:sz w:val="32"/>
          <w:szCs w:val="32"/>
          <w:lang w:val="en-US" w:eastAsia="zh-CN"/>
        </w:rPr>
        <w:t>269.41</w:t>
      </w:r>
      <w:r>
        <w:rPr>
          <w:rFonts w:hint="default" w:ascii="Times New Roman" w:hAnsi="Times New Roman" w:eastAsia="方正仿宋_GBK" w:cs="Times New Roman"/>
          <w:sz w:val="32"/>
          <w:szCs w:val="32"/>
          <w:shd w:val="clear" w:color="auto" w:fill="FFFFFF"/>
        </w:rPr>
        <w:t>万元。收支较上年决算数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color w:val="auto"/>
          <w:sz w:val="32"/>
          <w:szCs w:val="32"/>
          <w:shd w:val="clear" w:color="auto" w:fill="FFFFFF"/>
          <w:lang w:val="en-US" w:eastAsia="zh-CN"/>
        </w:rPr>
        <w:t>召开县总工会第十二次代表大会，运行经费增加。</w:t>
      </w:r>
      <w:r>
        <w:rPr>
          <w:rFonts w:hint="default" w:ascii="Times New Roman" w:hAnsi="Times New Roman" w:eastAsia="方正仿宋_GBK" w:cs="Times New Roman"/>
          <w:sz w:val="32"/>
          <w:szCs w:val="32"/>
          <w:shd w:val="clear" w:color="auto" w:fill="FFFFFF"/>
        </w:rPr>
        <w:t>其中：基本支出</w:t>
      </w:r>
      <w:r>
        <w:rPr>
          <w:rFonts w:hint="eastAsia" w:ascii="Times New Roman" w:hAnsi="Times New Roman" w:eastAsia="方正仿宋_GBK" w:cs="Times New Roman"/>
          <w:sz w:val="32"/>
          <w:szCs w:val="32"/>
          <w:lang w:val="en-US" w:eastAsia="zh-CN"/>
        </w:rPr>
        <w:t>250.49</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92.98</w:t>
      </w:r>
      <w:r>
        <w:rPr>
          <w:rFonts w:hint="default"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lang w:val="en-US" w:eastAsia="zh-CN"/>
        </w:rPr>
        <w:t>18.91</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7.02</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13"/>
        <w:spacing w:before="0" w:beforeAutospacing="0" w:after="0" w:afterAutospacing="0" w:line="600" w:lineRule="exact"/>
        <w:ind w:firstLine="643" w:firstLineChars="200"/>
        <w:jc w:val="both"/>
        <w:rPr>
          <w:rFonts w:hint="eastAsia" w:ascii="Times New Roman" w:hAnsi="方正仿宋_GBK" w:eastAsia="方正仿宋_GBK"/>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方正仿宋_GBK" w:eastAsia="方正仿宋_GBK"/>
          <w:sz w:val="32"/>
          <w:szCs w:val="32"/>
          <w:shd w:val="clear" w:color="auto" w:fill="FFFFFF"/>
        </w:rPr>
        <w:t>年度</w:t>
      </w:r>
      <w:r>
        <w:rPr>
          <w:rFonts w:hint="eastAsia" w:ascii="Times New Roman" w:hAnsi="方正仿宋_GBK" w:eastAsia="方正仿宋_GBK"/>
          <w:sz w:val="32"/>
          <w:szCs w:val="32"/>
          <w:shd w:val="clear" w:color="auto" w:fill="FFFFFF"/>
          <w:lang w:eastAsia="zh-CN"/>
        </w:rPr>
        <w:t>无一般公共预算财政拨款</w:t>
      </w:r>
      <w:r>
        <w:rPr>
          <w:rFonts w:hint="default" w:ascii="Times New Roman" w:hAnsi="方正仿宋_GBK" w:eastAsia="方正仿宋_GBK"/>
          <w:sz w:val="32"/>
          <w:szCs w:val="32"/>
          <w:shd w:val="clear" w:color="auto" w:fill="FFFFFF"/>
        </w:rPr>
        <w:t>结转和结余</w:t>
      </w:r>
      <w:r>
        <w:rPr>
          <w:rFonts w:hint="eastAsia" w:ascii="Times New Roman" w:hAnsi="方正仿宋_GBK" w:eastAsia="方正仿宋_GBK"/>
          <w:sz w:val="32"/>
          <w:szCs w:val="32"/>
          <w:shd w:val="clear" w:color="auto" w:fill="FFFFFF"/>
          <w:lang w:eastAsia="zh-CN"/>
        </w:rPr>
        <w:t>，与上年度持平。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13"/>
        <w:spacing w:before="0" w:beforeAutospacing="0" w:after="0" w:afterAutospacing="0" w:line="600" w:lineRule="exact"/>
        <w:ind w:firstLine="640" w:firstLineChars="200"/>
        <w:jc w:val="both"/>
        <w:rPr>
          <w:rFonts w:hint="eastAsia" w:ascii="Times New Roman" w:hAnsi="方正仿宋_GBK" w:eastAsia="方正仿宋_GBK"/>
          <w:color w:val="0000FF"/>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2023年度财政拨款收、支总计</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万元。与2022年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Times New Roman" w:hAnsi="方正仿宋_GBK" w:eastAsia="方正仿宋_GBK"/>
          <w:color w:val="auto"/>
          <w:sz w:val="32"/>
          <w:szCs w:val="32"/>
          <w:shd w:val="clear" w:color="auto" w:fill="FFFFFF"/>
          <w:lang w:val="en-US" w:eastAsia="zh-CN"/>
        </w:rPr>
        <w:t>主要原因是召开县总工会第十二次代表大会，运行经费增加</w:t>
      </w:r>
      <w:r>
        <w:rPr>
          <w:rFonts w:hint="eastAsia" w:ascii="Times New Roman" w:hAnsi="方正仿宋_GBK" w:eastAsia="方正仿宋_GBK"/>
          <w:color w:val="0000FF"/>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13"/>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eastAsia" w:ascii="Times New Roman" w:hAnsi="方正仿宋_GBK" w:eastAsia="方正仿宋_GBK"/>
          <w:color w:val="auto"/>
          <w:sz w:val="32"/>
          <w:szCs w:val="32"/>
          <w:shd w:val="clear" w:color="auto" w:fill="FFFFFF"/>
          <w:lang w:val="en-US" w:eastAsia="zh-CN"/>
        </w:rPr>
        <w:t>主要原因召开县总工会第十二次代表大会，运行经费增加。</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10.18</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3.64</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r>
        <w:rPr>
          <w:rFonts w:hint="default" w:ascii="Times New Roman" w:hAnsi="Times New Roman" w:eastAsia="方正仿宋_GBK" w:cs="Times New Roman"/>
          <w:sz w:val="32"/>
          <w:szCs w:val="32"/>
          <w:shd w:val="clear" w:color="auto" w:fill="FFFFFF"/>
        </w:rPr>
        <w:t>此外，年初财政拨款结转和结余</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w:t>
      </w:r>
    </w:p>
    <w:p>
      <w:pPr>
        <w:pStyle w:val="13"/>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eastAsia" w:ascii="Times New Roman" w:hAnsi="Times New Roman" w:eastAsia="方正仿宋_GBK" w:cs="Times New Roman"/>
          <w:sz w:val="32"/>
          <w:szCs w:val="32"/>
          <w:shd w:val="clear" w:color="auto" w:fill="FFFFFF"/>
          <w:lang w:val="en-US" w:eastAsia="zh-CN"/>
        </w:rPr>
        <w:t>269.41</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3</w:t>
      </w:r>
      <w:r>
        <w:rPr>
          <w:rFonts w:hint="eastAsia" w:ascii="Times New Roman" w:hAnsi="Times New Roman" w:eastAsia="方正仿宋_GBK" w:cs="Times New Roman"/>
          <w:sz w:val="32"/>
          <w:szCs w:val="32"/>
          <w:shd w:val="clear" w:color="auto" w:fill="FFFFFF"/>
          <w:lang w:val="en-US" w:eastAsia="zh-CN"/>
        </w:rPr>
        <w:t>.72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4%。</w:t>
      </w:r>
      <w:r>
        <w:rPr>
          <w:rFonts w:hint="default" w:ascii="Times New Roman" w:hAnsi="方正仿宋_GBK" w:eastAsia="方正仿宋_GBK"/>
          <w:sz w:val="32"/>
          <w:szCs w:val="32"/>
          <w:shd w:val="clear" w:color="auto" w:fill="FFFFFF"/>
        </w:rPr>
        <w:t>主要原因是</w:t>
      </w:r>
      <w:r>
        <w:rPr>
          <w:rFonts w:hint="eastAsia" w:ascii="Times New Roman" w:hAnsi="方正仿宋_GBK" w:eastAsia="方正仿宋_GBK"/>
          <w:color w:val="auto"/>
          <w:sz w:val="32"/>
          <w:szCs w:val="32"/>
          <w:shd w:val="clear" w:color="auto" w:fill="FFFFFF"/>
          <w:lang w:val="en-US" w:eastAsia="zh-CN"/>
        </w:rPr>
        <w:t>召开县总工会第十二次代表大会，运行经费增加。</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10.18</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3.64</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w:t>
      </w:r>
      <w:r>
        <w:rPr>
          <w:rFonts w:hint="default" w:ascii="Times New Roman" w:hAnsi="方正仿宋_GBK" w:eastAsia="方正仿宋_GBK"/>
          <w:sz w:val="32"/>
          <w:szCs w:val="32"/>
          <w:shd w:val="clear" w:color="auto" w:fill="FFFFFF"/>
        </w:rPr>
        <w:t>年度</w:t>
      </w:r>
      <w:r>
        <w:rPr>
          <w:rFonts w:hint="eastAsia" w:ascii="Times New Roman" w:hAnsi="方正仿宋_GBK" w:eastAsia="方正仿宋_GBK"/>
          <w:sz w:val="32"/>
          <w:szCs w:val="32"/>
          <w:shd w:val="clear" w:color="auto" w:fill="FFFFFF"/>
          <w:lang w:eastAsia="zh-CN"/>
        </w:rPr>
        <w:t>无一般公共预算财政拨款</w:t>
      </w:r>
      <w:r>
        <w:rPr>
          <w:rFonts w:hint="default" w:ascii="Times New Roman" w:hAnsi="方正仿宋_GBK" w:eastAsia="方正仿宋_GBK"/>
          <w:sz w:val="32"/>
          <w:szCs w:val="32"/>
          <w:shd w:val="clear" w:color="auto" w:fill="FFFFFF"/>
        </w:rPr>
        <w:t>结转和结余</w:t>
      </w:r>
      <w:r>
        <w:rPr>
          <w:rFonts w:hint="eastAsia" w:ascii="Times New Roman" w:hAnsi="方正仿宋_GBK" w:eastAsia="方正仿宋_GBK"/>
          <w:sz w:val="32"/>
          <w:szCs w:val="32"/>
          <w:shd w:val="clear" w:color="auto" w:fill="FFFFFF"/>
          <w:lang w:eastAsia="zh-CN"/>
        </w:rPr>
        <w:t>，与上年度持平。</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4874CB" w:themeColor="accent1"/>
          <w:sz w:val="22"/>
          <w:szCs w:val="22"/>
          <w:highlight w:val="none"/>
          <w:shd w:val="clear" w:color="auto" w:fill="FFFFFF"/>
          <w14:textFill>
            <w14:solidFill>
              <w14:schemeClr w14:val="accent1"/>
            </w14:solidFill>
          </w14:textFill>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eastAsia" w:ascii="Times New Roman" w:hAnsi="Times New Roman" w:eastAsia="方正仿宋_GBK" w:cs="Times New Roman"/>
          <w:sz w:val="32"/>
          <w:szCs w:val="32"/>
          <w:lang w:val="en-US" w:eastAsia="zh-CN"/>
        </w:rPr>
        <w:t>192.43</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71.43</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6.59</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3.31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FF0000"/>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eastAsia" w:ascii="Times New Roman" w:hAnsi="Times New Roman" w:eastAsia="方正仿宋_GBK" w:cs="Times New Roman"/>
          <w:sz w:val="32"/>
          <w:szCs w:val="32"/>
          <w:lang w:val="en-US" w:eastAsia="zh-CN"/>
        </w:rPr>
        <w:t>49.74</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18.46</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3.41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6.42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eastAsia" w:ascii="Times New Roman" w:hAnsi="Times New Roman" w:eastAsia="方正仿宋_GBK" w:cs="Times New Roman"/>
          <w:sz w:val="32"/>
          <w:szCs w:val="32"/>
          <w:lang w:val="en-US" w:eastAsia="zh-CN"/>
        </w:rPr>
        <w:t>9.31</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3.46</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0.08</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0.85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17.93</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lang w:val="en-US" w:eastAsia="zh-CN"/>
        </w:rPr>
        <w:t>6.65</w:t>
      </w:r>
      <w:r>
        <w:rPr>
          <w:rFonts w:hint="default" w:ascii="Times New Roman" w:hAnsi="Times New Roman" w:eastAsia="方正仿宋_GBK" w:cs="Times New Roman"/>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lang w:val="en-US" w:eastAsia="zh-CN"/>
        </w:rPr>
        <w:t>0.09</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0.5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kern w:val="2"/>
          <w:sz w:val="32"/>
          <w:szCs w:val="32"/>
          <w:shd w:val="clear" w:color="auto" w:fill="FFFFFF"/>
          <w:lang w:val="en-US" w:eastAsia="zh-CN" w:bidi="ar-SA"/>
        </w:rPr>
      </w:pPr>
      <w:r>
        <w:rPr>
          <w:rStyle w:val="9"/>
          <w:rFonts w:hint="default"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sz w:val="36"/>
          <w:szCs w:val="36"/>
          <w:shd w:val="clear" w:color="auto" w:fill="FFFFFF"/>
          <w:lang w:eastAsia="zh-CN"/>
        </w:rPr>
      </w:pPr>
      <w:r>
        <w:rPr>
          <w:rFonts w:hint="default" w:ascii="Times New Roman" w:hAnsi="Times New Roman" w:eastAsia="方正仿宋_GBK" w:cs="Times New Roman"/>
          <w:sz w:val="32"/>
          <w:szCs w:val="32"/>
          <w:shd w:val="clear" w:color="auto" w:fill="FFFFFF"/>
        </w:rPr>
        <w:t> 2023年度一般公共</w:t>
      </w:r>
      <w:r>
        <w:rPr>
          <w:rFonts w:hint="eastAsia" w:ascii="Times New Roman" w:hAnsi="Times New Roman" w:eastAsia="方正仿宋_GBK" w:cs="Times New Roman"/>
          <w:sz w:val="32"/>
          <w:szCs w:val="32"/>
          <w:shd w:val="clear" w:color="auto" w:fill="FFFFFF"/>
          <w:lang w:eastAsia="zh-CN"/>
        </w:rPr>
        <w:t>预算</w:t>
      </w:r>
      <w:r>
        <w:rPr>
          <w:rFonts w:hint="default" w:ascii="Times New Roman" w:hAnsi="Times New Roman" w:eastAsia="方正仿宋_GBK" w:cs="Times New Roman"/>
          <w:sz w:val="32"/>
          <w:szCs w:val="32"/>
          <w:shd w:val="clear" w:color="auto" w:fill="FFFFFF"/>
        </w:rPr>
        <w:t>财政拨款基本支出</w:t>
      </w:r>
      <w:r>
        <w:rPr>
          <w:rFonts w:hint="eastAsia" w:ascii="Times New Roman" w:hAnsi="Times New Roman" w:eastAsia="方正仿宋_GBK" w:cs="Times New Roman"/>
          <w:sz w:val="32"/>
          <w:szCs w:val="32"/>
          <w:lang w:val="en-US" w:eastAsia="zh-CN"/>
        </w:rPr>
        <w:t>269.41</w:t>
      </w:r>
      <w:r>
        <w:rPr>
          <w:rFonts w:hint="default" w:ascii="Times New Roman" w:hAnsi="Times New Roman" w:eastAsia="方正仿宋_GBK" w:cs="Times New Roman"/>
          <w:sz w:val="32"/>
          <w:szCs w:val="32"/>
          <w:shd w:val="clear" w:color="auto" w:fill="FFFFFF"/>
        </w:rPr>
        <w:t>万元。其中：人员经费</w:t>
      </w:r>
      <w:r>
        <w:rPr>
          <w:rFonts w:hint="eastAsia" w:ascii="Times New Roman" w:hAnsi="Times New Roman" w:eastAsia="方正仿宋_GBK" w:cs="Times New Roman"/>
          <w:sz w:val="32"/>
          <w:szCs w:val="32"/>
          <w:lang w:val="en-US" w:eastAsia="zh-CN"/>
        </w:rPr>
        <w:t>226.95</w:t>
      </w:r>
      <w:r>
        <w:rPr>
          <w:rFonts w:hint="default" w:ascii="Times New Roman" w:hAnsi="Times New Roman" w:eastAsia="方正仿宋_GBK" w:cs="Times New Roman"/>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lang w:val="en-US" w:eastAsia="zh-CN"/>
        </w:rPr>
        <w:t>5.30</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2.28</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sz w:val="32"/>
          <w:szCs w:val="32"/>
          <w:shd w:val="clear" w:color="auto" w:fill="FFFFFF"/>
        </w:rPr>
        <w:t>职工工资福利、职工津贴补贴、规范性津贴补贴、机关事业单位养老保险费等</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eastAsia" w:ascii="Times New Roman" w:hAnsi="Times New Roman" w:eastAsia="方正仿宋_GBK" w:cs="Times New Roman"/>
          <w:sz w:val="32"/>
          <w:szCs w:val="32"/>
          <w:lang w:val="en-US" w:eastAsia="zh-CN"/>
        </w:rPr>
        <w:t>23.54</w:t>
      </w:r>
      <w:r>
        <w:rPr>
          <w:rFonts w:hint="default" w:ascii="Times New Roman" w:hAnsi="Times New Roman" w:eastAsia="方正仿宋_GBK" w:cs="Times New Roman"/>
          <w:sz w:val="32"/>
          <w:szCs w:val="32"/>
          <w:shd w:val="clear" w:color="auto" w:fill="FFFFFF"/>
        </w:rPr>
        <w:t>万元，较上年决算数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0.2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0.86</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2023年2月</w:t>
      </w:r>
      <w:r>
        <w:rPr>
          <w:rFonts w:hint="eastAsia" w:ascii="Times New Roman" w:hAnsi="Times New Roman" w:eastAsia="方正仿宋_GBK" w:cs="Times New Roman"/>
          <w:sz w:val="32"/>
          <w:szCs w:val="32"/>
          <w:shd w:val="clear" w:color="auto" w:fill="FFFFFF"/>
          <w:lang w:eastAsia="zh-CN"/>
        </w:rPr>
        <w:t>退休</w:t>
      </w:r>
      <w:r>
        <w:rPr>
          <w:rFonts w:hint="eastAsia" w:ascii="Times New Roman" w:hAnsi="Times New Roman" w:eastAsia="方正仿宋_GBK" w:cs="Times New Roman"/>
          <w:sz w:val="32"/>
          <w:szCs w:val="32"/>
          <w:shd w:val="clear" w:color="auto" w:fill="FFFFFF"/>
          <w:lang w:val="en-US" w:eastAsia="zh-CN"/>
        </w:rPr>
        <w:t>1人及调出1人，7月新增1人，10月新增1人，人员经费减少，因返聘人员劳务费增加。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办公经费、水电费、邮电费、物业管理费、差旅费、会议费、培训费、公务接待费、工会经费、福利费、</w:t>
      </w:r>
      <w:r>
        <w:rPr>
          <w:rFonts w:hint="eastAsia" w:ascii="Times New Roman" w:hAnsi="Times New Roman" w:eastAsia="方正仿宋_GBK"/>
          <w:sz w:val="32"/>
          <w:szCs w:val="32"/>
          <w:shd w:val="clear" w:color="auto" w:fill="FFFFFF"/>
          <w:lang w:eastAsia="zh-CN"/>
        </w:rPr>
        <w:t>劳务费、</w:t>
      </w:r>
      <w:r>
        <w:rPr>
          <w:rFonts w:hint="default" w:ascii="Times New Roman" w:hAnsi="Times New Roman" w:eastAsia="方正仿宋_GBK"/>
          <w:sz w:val="32"/>
          <w:szCs w:val="32"/>
          <w:shd w:val="clear" w:color="auto" w:fill="FFFFFF"/>
        </w:rPr>
        <w:t>公务用车运行费、其他交通费、其他商品服务支出</w:t>
      </w:r>
      <w:r>
        <w:rPr>
          <w:rFonts w:hint="eastAsia" w:ascii="Times New Roman" w:hAnsi="Times New Roman" w:eastAsia="方正仿宋_GBK"/>
          <w:sz w:val="32"/>
          <w:szCs w:val="32"/>
          <w:shd w:val="clear" w:color="auto" w:fill="FFFFFF"/>
          <w:lang w:eastAsia="zh-CN"/>
        </w:rPr>
        <w:t>。</w:t>
      </w:r>
    </w:p>
    <w:p>
      <w:pPr>
        <w:pStyle w:val="12"/>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政府性基金预算收支决算情况说明</w:t>
      </w:r>
    </w:p>
    <w:p>
      <w:pPr>
        <w:pStyle w:val="7"/>
        <w:spacing w:before="0" w:beforeAutospacing="0" w:after="0" w:afterAutospacing="0" w:line="600" w:lineRule="exact"/>
        <w:ind w:firstLine="640" w:firstLineChars="200"/>
        <w:jc w:val="both"/>
        <w:rPr>
          <w:rFonts w:hint="default" w:ascii="Times New Roman" w:hAnsi="Times New Roman"/>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年度无政府性基金预算拨款收支。</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年度无国有资本经营预算财政拨款支出。</w:t>
      </w:r>
    </w:p>
    <w:p>
      <w:pPr>
        <w:pStyle w:val="7"/>
        <w:spacing w:before="0" w:beforeAutospacing="0" w:after="0" w:afterAutospacing="0" w:line="600" w:lineRule="exact"/>
        <w:ind w:firstLine="960" w:firstLineChars="300"/>
        <w:jc w:val="both"/>
        <w:rPr>
          <w:rStyle w:val="9"/>
          <w:rFonts w:hint="default" w:ascii="Times New Roman" w:hAnsi="Times New Roman" w:eastAsia="方正仿宋_GBK" w:cs="Times New Roman"/>
          <w:b w:val="0"/>
          <w:bCs/>
          <w:sz w:val="32"/>
          <w:szCs w:val="32"/>
          <w:shd w:val="clear" w:color="auto" w:fill="FFFF00"/>
        </w:rPr>
      </w:pPr>
      <w:r>
        <w:rPr>
          <w:rStyle w:val="9"/>
          <w:rFonts w:hint="default" w:ascii="Times New Roman" w:hAnsi="Times New Roman" w:eastAsia="方正黑体_GBK" w:cs="Times New Roman"/>
          <w:b w:val="0"/>
          <w:bCs/>
          <w:sz w:val="32"/>
          <w:szCs w:val="32"/>
          <w:shd w:val="clear" w:color="auto" w:fill="FFFFFF"/>
          <w:lang w:eastAsia="zh-CN"/>
        </w:rPr>
        <w:t>三、</w:t>
      </w:r>
      <w:r>
        <w:rPr>
          <w:rStyle w:val="9"/>
          <w:rFonts w:hint="default" w:ascii="Times New Roman" w:hAnsi="Times New Roman" w:eastAsia="方正黑体_GBK" w:cs="Times New Roman"/>
          <w:b w:val="0"/>
          <w:bCs/>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eastAsia" w:ascii="Times New Roman" w:hAnsi="Times New Roman" w:eastAsia="方正仿宋_GBK" w:cs="Times New Roman"/>
          <w:sz w:val="32"/>
          <w:szCs w:val="32"/>
          <w:lang w:val="en-US" w:eastAsia="zh-CN"/>
        </w:rPr>
        <w:t>5.59</w:t>
      </w:r>
      <w:r>
        <w:rPr>
          <w:rFonts w:hint="default" w:ascii="Times New Roman" w:hAnsi="Times New Roman" w:eastAsia="方正仿宋_GBK" w:cs="Times New Roman"/>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lang w:val="en-US" w:eastAsia="zh-CN"/>
        </w:rPr>
        <w:t>1.51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21.27</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公务车已达到报废年限，使用频率减少。</w:t>
      </w:r>
      <w:r>
        <w:rPr>
          <w:rFonts w:hint="default" w:ascii="Times New Roman" w:hAnsi="Times New Roman" w:eastAsia="方正仿宋_GBK" w:cs="Times New Roman"/>
          <w:sz w:val="32"/>
          <w:szCs w:val="32"/>
          <w:shd w:val="clear" w:color="auto" w:fill="FFFFFF"/>
        </w:rPr>
        <w:t>较上年支出数增加</w:t>
      </w:r>
      <w:r>
        <w:rPr>
          <w:rFonts w:hint="eastAsia" w:ascii="Times New Roman" w:hAnsi="Times New Roman" w:eastAsia="方正仿宋_GBK" w:cs="Times New Roman"/>
          <w:sz w:val="32"/>
          <w:szCs w:val="32"/>
          <w:shd w:val="clear" w:color="auto" w:fill="FFFFFF"/>
          <w:lang w:val="en-US" w:eastAsia="zh-CN"/>
        </w:rPr>
        <w:t>2.28</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68.75</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市总工会领导增加了到秀山开展调研工作。</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2023年度本部门因公出国（境）费用</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sz w:val="32"/>
          <w:szCs w:val="32"/>
          <w:shd w:val="clear" w:color="auto" w:fill="FFFFFF"/>
        </w:rPr>
        <w:t>未发生因公出国费用</w:t>
      </w:r>
      <w:r>
        <w:rPr>
          <w:rFonts w:hint="eastAsia" w:ascii="Times New Roman" w:hAnsi="Times New Roman" w:eastAsia="方正仿宋_GBK"/>
          <w:sz w:val="32"/>
          <w:szCs w:val="32"/>
          <w:shd w:val="clear" w:color="auto" w:fill="FFFFFF"/>
          <w:lang w:eastAsia="zh-CN"/>
        </w:rPr>
        <w:t>，费用支出较年初预算数、上年支出数无增减。</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w:t>
      </w:r>
      <w:r>
        <w:rPr>
          <w:rFonts w:hint="eastAsia"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sz w:val="32"/>
          <w:szCs w:val="32"/>
          <w:shd w:val="clear" w:color="auto" w:fill="FFFFFF"/>
        </w:rPr>
        <w:t>未发生购车费用</w:t>
      </w:r>
      <w:r>
        <w:rPr>
          <w:rFonts w:hint="eastAsia" w:ascii="Times New Roman" w:hAnsi="Times New Roman" w:eastAsia="方正仿宋_GBK"/>
          <w:sz w:val="32"/>
          <w:szCs w:val="32"/>
          <w:shd w:val="clear" w:color="auto" w:fill="FFFFFF"/>
          <w:lang w:eastAsia="zh-CN"/>
        </w:rPr>
        <w:t>，费用支出较年初预算数、上年支出数无增减。</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lang w:val="en-US" w:eastAsia="zh-CN"/>
        </w:rPr>
        <w:t>3.49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sz w:val="32"/>
          <w:szCs w:val="32"/>
          <w:shd w:val="clear" w:color="auto" w:fill="FFFFFF"/>
        </w:rPr>
        <w:t>日常公务用车及下乡走访、调研、到市总参加技能竞赛</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w:t>
      </w:r>
      <w:r>
        <w:rPr>
          <w:rFonts w:hint="eastAsia" w:ascii="Times New Roman" w:hAnsi="Times New Roman" w:eastAsia="方正仿宋_GBK" w:cs="Times New Roman"/>
          <w:sz w:val="32"/>
          <w:szCs w:val="32"/>
          <w:shd w:val="clear" w:color="auto" w:fill="FFFFFF"/>
          <w:lang w:val="en-US" w:eastAsia="zh-CN"/>
        </w:rPr>
        <w:t>1.51</w:t>
      </w:r>
      <w:r>
        <w:rPr>
          <w:rFonts w:hint="default" w:ascii="Times New Roman" w:hAnsi="Times New Roman" w:eastAsia="方正仿宋_GBK" w:cs="Times New Roman"/>
          <w:sz w:val="32"/>
          <w:szCs w:val="32"/>
          <w:shd w:val="clear" w:color="auto" w:fill="FFFFFF"/>
        </w:rPr>
        <w:t>万元，下降</w:t>
      </w:r>
      <w:r>
        <w:rPr>
          <w:rFonts w:hint="eastAsia" w:ascii="Times New Roman" w:hAnsi="Times New Roman" w:eastAsia="方正仿宋_GBK" w:cs="Times New Roman"/>
          <w:sz w:val="32"/>
          <w:szCs w:val="32"/>
          <w:shd w:val="clear" w:color="auto" w:fill="FFFFFF"/>
          <w:lang w:val="en-US" w:eastAsia="zh-CN"/>
        </w:rPr>
        <w:t>30.2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公务车已达到报废年限，使用频率减少</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1.02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41.47</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公务车已到达到报废年限造成维修费增多。</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sz w:val="32"/>
          <w:szCs w:val="32"/>
          <w:shd w:val="clear" w:color="auto" w:fill="FFFFFF"/>
        </w:rPr>
        <w:t>市总领导来秀开展慰问活动和调研活动</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w:t>
      </w:r>
      <w:r>
        <w:rPr>
          <w:rFonts w:hint="eastAsia" w:ascii="Times New Roman" w:hAnsi="Times New Roman" w:eastAsia="方正仿宋_GBK" w:cs="Times New Roman"/>
          <w:sz w:val="32"/>
          <w:szCs w:val="32"/>
          <w:shd w:val="clear" w:color="auto" w:fill="FFFFFF"/>
          <w:lang w:eastAsia="zh-CN"/>
        </w:rPr>
        <w:t>一致</w:t>
      </w:r>
      <w:r>
        <w:rPr>
          <w:rFonts w:hint="default" w:ascii="Times New Roman" w:hAnsi="Times New Roman" w:eastAsia="方正仿宋_GBK" w:cs="Times New Roman"/>
          <w:sz w:val="32"/>
          <w:szCs w:val="32"/>
          <w:shd w:val="clear" w:color="auto" w:fill="FFFFFF"/>
        </w:rPr>
        <w:t>，较上年支出数增加1.</w:t>
      </w:r>
      <w:r>
        <w:rPr>
          <w:rFonts w:hint="eastAsia" w:ascii="Times New Roman" w:hAnsi="Times New Roman" w:eastAsia="方正仿宋_GBK" w:cs="Times New Roman"/>
          <w:sz w:val="32"/>
          <w:szCs w:val="32"/>
          <w:shd w:val="clear" w:color="auto" w:fill="FFFFFF"/>
          <w:lang w:val="en-US" w:eastAsia="zh-CN"/>
        </w:rPr>
        <w:t>25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148.2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市总工会领导增加了到秀山开展调研工作。</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2023年度本部门因公出国（境）共计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个团组，</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辆；国内公务接待</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shd w:val="clear" w:color="auto" w:fill="FFFFFF"/>
        </w:rPr>
        <w:t>批次</w:t>
      </w:r>
      <w:r>
        <w:rPr>
          <w:rFonts w:hint="eastAsia" w:ascii="Times New Roman" w:hAnsi="Times New Roman" w:eastAsia="方正仿宋_GBK" w:cs="Times New Roman"/>
          <w:sz w:val="32"/>
          <w:szCs w:val="32"/>
          <w:lang w:val="en-US" w:eastAsia="zh-CN"/>
        </w:rPr>
        <w:t>214</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eastAsia" w:ascii="Times New Roman" w:hAnsi="Times New Roman" w:eastAsia="方正仿宋_GBK" w:cs="Times New Roman"/>
          <w:sz w:val="32"/>
          <w:szCs w:val="32"/>
          <w:lang w:val="en-US" w:eastAsia="zh-CN"/>
        </w:rPr>
        <w:t>98.1</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eastAsia" w:ascii="Times New Roman" w:hAnsi="Times New Roman" w:eastAsia="方正仿宋_GBK" w:cs="Times New Roman"/>
          <w:sz w:val="32"/>
          <w:szCs w:val="32"/>
          <w:lang w:val="en-US" w:eastAsia="zh-CN"/>
        </w:rPr>
        <w:t>3.49</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（一）财政拨款会议费和培训费情况说明</w:t>
      </w:r>
    </w:p>
    <w:p>
      <w:pPr>
        <w:pStyle w:val="13"/>
        <w:spacing w:before="0" w:beforeAutospacing="0" w:after="0" w:afterAutospacing="0" w:line="600" w:lineRule="exact"/>
        <w:ind w:firstLine="640" w:firstLineChars="200"/>
        <w:jc w:val="both"/>
        <w:rPr>
          <w:rFonts w:hint="eastAsia" w:ascii="Times New Roman" w:hAnsi="方正仿宋_GBK" w:eastAsia="方正仿宋_GBK"/>
          <w:color w:val="0000FF"/>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w:t>
      </w:r>
      <w:r>
        <w:rPr>
          <w:rFonts w:hint="eastAsia"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14</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3500</w:t>
      </w:r>
      <w:r>
        <w:rPr>
          <w:rFonts w:hint="default" w:ascii="Times New Roman" w:hAnsi="Times New Roman" w:eastAsia="方正仿宋_GBK" w:cs="Times New Roman"/>
          <w:sz w:val="32"/>
          <w:szCs w:val="32"/>
          <w:shd w:val="clear" w:color="auto" w:fill="FFFFFF"/>
        </w:rPr>
        <w:t>%，主要原因是</w:t>
      </w:r>
      <w:r>
        <w:rPr>
          <w:rFonts w:hint="eastAsia" w:ascii="Times New Roman" w:hAnsi="方正仿宋_GBK" w:eastAsia="方正仿宋_GBK"/>
          <w:color w:val="auto"/>
          <w:sz w:val="32"/>
          <w:szCs w:val="32"/>
          <w:shd w:val="clear" w:color="auto" w:fill="FFFFFF"/>
          <w:lang w:val="en-US" w:eastAsia="zh-CN"/>
        </w:rPr>
        <w:t>召开县总工会第十二次代表大会，运行经费增加。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本年度培训费支出</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rPr>
        <w:t>0.25</w:t>
      </w:r>
      <w:r>
        <w:rPr>
          <w:rFonts w:hint="default" w:ascii="Times New Roman" w:hAnsi="Times New Roman" w:eastAsia="方正仿宋_GBK" w:cs="Times New Roman"/>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rPr>
        <w:t>26.32</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val="en-US" w:eastAsia="zh-CN"/>
        </w:rPr>
        <w:t>2023年开展了全县工会干部业务能力培训。</w:t>
      </w:r>
    </w:p>
    <w:p>
      <w:pPr>
        <w:pStyle w:val="12"/>
        <w:keepNext w:val="0"/>
        <w:keepLines w:val="0"/>
        <w:pageBreakBefore w:val="0"/>
        <w:widowControl w:val="0"/>
        <w:numPr>
          <w:ilvl w:val="0"/>
          <w:numId w:val="3"/>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2023年度本部门机关运行经费支出</w:t>
      </w:r>
      <w:r>
        <w:rPr>
          <w:rFonts w:hint="eastAsia" w:ascii="Times New Roman" w:hAnsi="Times New Roman" w:eastAsia="方正仿宋_GBK" w:cs="Times New Roman"/>
          <w:sz w:val="32"/>
          <w:szCs w:val="32"/>
          <w:lang w:val="en-US" w:eastAsia="zh-CN"/>
        </w:rPr>
        <w:t>23.54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sz w:val="32"/>
          <w:szCs w:val="32"/>
          <w:lang w:bidi="ar"/>
        </w:rPr>
        <w:t>开支</w:t>
      </w:r>
      <w:r>
        <w:rPr>
          <w:rFonts w:hint="default" w:ascii="Times New Roman" w:hAnsi="Times New Roman" w:eastAsia="方正仿宋_GBK"/>
          <w:sz w:val="32"/>
          <w:szCs w:val="32"/>
          <w:shd w:val="clear" w:color="auto" w:fill="FFFFFF"/>
        </w:rPr>
        <w:t>办公经费</w:t>
      </w:r>
      <w:r>
        <w:rPr>
          <w:rFonts w:hint="eastAsia" w:ascii="Times New Roman" w:hAnsi="Times New Roman" w:eastAsia="方正仿宋_GBK"/>
          <w:sz w:val="32"/>
          <w:szCs w:val="32"/>
          <w:shd w:val="clear" w:color="auto" w:fill="FFFFFF"/>
          <w:lang w:val="en-US" w:eastAsia="zh-CN"/>
        </w:rPr>
        <w:t>2.9</w:t>
      </w:r>
      <w:r>
        <w:rPr>
          <w:rFonts w:hint="default" w:ascii="Times New Roman" w:hAnsi="Times New Roman" w:eastAsia="方正仿宋_GBK"/>
          <w:sz w:val="32"/>
          <w:szCs w:val="32"/>
          <w:shd w:val="clear" w:color="auto" w:fill="FFFFFF"/>
        </w:rPr>
        <w:t>万元、水电费</w:t>
      </w:r>
      <w:r>
        <w:rPr>
          <w:rFonts w:hint="eastAsia" w:ascii="Times New Roman" w:hAnsi="Times New Roman" w:eastAsia="方正仿宋_GBK"/>
          <w:sz w:val="32"/>
          <w:szCs w:val="32"/>
          <w:shd w:val="clear" w:color="auto" w:fill="FFFFFF"/>
          <w:lang w:val="en-US" w:eastAsia="zh-CN"/>
        </w:rPr>
        <w:t>0.56</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电费</w:t>
      </w:r>
      <w:r>
        <w:rPr>
          <w:rFonts w:hint="eastAsia" w:ascii="Times New Roman" w:hAnsi="Times New Roman" w:eastAsia="方正仿宋_GBK"/>
          <w:sz w:val="32"/>
          <w:szCs w:val="32"/>
          <w:shd w:val="clear" w:color="auto" w:fill="FFFFFF"/>
          <w:lang w:val="en-US" w:eastAsia="zh-CN"/>
        </w:rPr>
        <w:t>0.7万元、</w:t>
      </w:r>
      <w:r>
        <w:rPr>
          <w:rFonts w:hint="default" w:ascii="Times New Roman" w:hAnsi="Times New Roman" w:eastAsia="方正仿宋_GBK"/>
          <w:sz w:val="32"/>
          <w:szCs w:val="32"/>
          <w:shd w:val="clear" w:color="auto" w:fill="FFFFFF"/>
        </w:rPr>
        <w:t>邮电费</w:t>
      </w:r>
      <w:r>
        <w:rPr>
          <w:rFonts w:hint="eastAsia" w:ascii="Times New Roman" w:hAnsi="Times New Roman" w:eastAsia="方正仿宋_GBK"/>
          <w:sz w:val="32"/>
          <w:szCs w:val="32"/>
          <w:shd w:val="clear" w:color="auto" w:fill="FFFFFF"/>
          <w:lang w:val="en-US" w:eastAsia="zh-CN"/>
        </w:rPr>
        <w:t>2.63</w:t>
      </w:r>
      <w:r>
        <w:rPr>
          <w:rFonts w:hint="default" w:ascii="Times New Roman" w:hAnsi="Times New Roman" w:eastAsia="方正仿宋_GBK"/>
          <w:sz w:val="32"/>
          <w:szCs w:val="32"/>
          <w:shd w:val="clear" w:color="auto" w:fill="FFFFFF"/>
        </w:rPr>
        <w:t>万元、物业管理费1.</w:t>
      </w:r>
      <w:r>
        <w:rPr>
          <w:rFonts w:hint="eastAsia" w:ascii="Times New Roman" w:hAnsi="Times New Roman" w:eastAsia="方正仿宋_GBK"/>
          <w:sz w:val="32"/>
          <w:szCs w:val="32"/>
          <w:shd w:val="clear" w:color="auto" w:fill="FFFFFF"/>
          <w:lang w:val="en-US" w:eastAsia="zh-CN"/>
        </w:rPr>
        <w:t>2</w:t>
      </w:r>
      <w:r>
        <w:rPr>
          <w:rFonts w:hint="default" w:ascii="Times New Roman" w:hAnsi="Times New Roman" w:eastAsia="方正仿宋_GBK"/>
          <w:sz w:val="32"/>
          <w:szCs w:val="32"/>
          <w:shd w:val="clear" w:color="auto" w:fill="FFFFFF"/>
        </w:rPr>
        <w:t>万元、差旅费</w:t>
      </w:r>
      <w:r>
        <w:rPr>
          <w:rFonts w:hint="eastAsia" w:ascii="Times New Roman" w:hAnsi="Times New Roman" w:eastAsia="方正仿宋_GBK"/>
          <w:sz w:val="32"/>
          <w:szCs w:val="32"/>
          <w:shd w:val="clear" w:color="auto" w:fill="FFFFFF"/>
          <w:lang w:val="en-US" w:eastAsia="zh-CN"/>
        </w:rPr>
        <w:t>1.7</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会议费</w:t>
      </w:r>
      <w:r>
        <w:rPr>
          <w:rFonts w:hint="eastAsia" w:ascii="Times New Roman" w:hAnsi="Times New Roman" w:eastAsia="方正仿宋_GBK"/>
          <w:sz w:val="32"/>
          <w:szCs w:val="32"/>
          <w:shd w:val="clear" w:color="auto" w:fill="FFFFFF"/>
          <w:lang w:val="en-US" w:eastAsia="zh-CN"/>
        </w:rPr>
        <w:t>0.4万元、</w:t>
      </w:r>
      <w:r>
        <w:rPr>
          <w:rFonts w:hint="default" w:ascii="Times New Roman" w:hAnsi="Times New Roman" w:eastAsia="方正仿宋_GBK"/>
          <w:sz w:val="32"/>
          <w:szCs w:val="32"/>
          <w:shd w:val="clear" w:color="auto" w:fill="FFFFFF"/>
        </w:rPr>
        <w:t>培训费</w:t>
      </w:r>
      <w:r>
        <w:rPr>
          <w:rFonts w:hint="eastAsia" w:ascii="Times New Roman" w:hAnsi="Times New Roman" w:eastAsia="方正仿宋_GBK"/>
          <w:sz w:val="32"/>
          <w:szCs w:val="32"/>
          <w:shd w:val="clear" w:color="auto" w:fill="FFFFFF"/>
          <w:lang w:val="en-US" w:eastAsia="zh-CN"/>
        </w:rPr>
        <w:t>1.2</w:t>
      </w:r>
      <w:r>
        <w:rPr>
          <w:rFonts w:hint="default" w:ascii="Times New Roman" w:hAnsi="Times New Roman" w:eastAsia="方正仿宋_GBK"/>
          <w:sz w:val="32"/>
          <w:szCs w:val="32"/>
          <w:shd w:val="clear" w:color="auto" w:fill="FFFFFF"/>
        </w:rPr>
        <w:t>万元、公务接待费</w:t>
      </w:r>
      <w:r>
        <w:rPr>
          <w:rFonts w:hint="eastAsia" w:ascii="Times New Roman" w:hAnsi="Times New Roman" w:eastAsia="方正仿宋_GBK"/>
          <w:sz w:val="32"/>
          <w:szCs w:val="32"/>
          <w:shd w:val="clear" w:color="auto" w:fill="FFFFFF"/>
          <w:lang w:val="en-US" w:eastAsia="zh-CN"/>
        </w:rPr>
        <w:t>2.1</w:t>
      </w:r>
      <w:r>
        <w:rPr>
          <w:rFonts w:hint="default"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lang w:eastAsia="zh-CN"/>
        </w:rPr>
        <w:t>劳务费</w:t>
      </w:r>
      <w:r>
        <w:rPr>
          <w:rFonts w:hint="eastAsia" w:ascii="Times New Roman" w:hAnsi="Times New Roman" w:eastAsia="方正仿宋_GBK"/>
          <w:sz w:val="32"/>
          <w:szCs w:val="32"/>
          <w:shd w:val="clear" w:color="auto" w:fill="FFFFFF"/>
          <w:lang w:val="en-US" w:eastAsia="zh-CN"/>
        </w:rPr>
        <w:t>2.1万元、</w:t>
      </w:r>
      <w:r>
        <w:rPr>
          <w:rFonts w:hint="default" w:ascii="Times New Roman" w:hAnsi="Times New Roman" w:eastAsia="方正仿宋_GBK"/>
          <w:sz w:val="32"/>
          <w:szCs w:val="32"/>
          <w:shd w:val="clear" w:color="auto" w:fill="FFFFFF"/>
        </w:rPr>
        <w:t>工会经费</w:t>
      </w:r>
      <w:r>
        <w:rPr>
          <w:rFonts w:hint="eastAsia" w:ascii="Times New Roman" w:hAnsi="Times New Roman" w:eastAsia="方正仿宋_GBK"/>
          <w:sz w:val="32"/>
          <w:szCs w:val="32"/>
          <w:shd w:val="clear" w:color="auto" w:fill="FFFFFF"/>
          <w:lang w:val="en-US" w:eastAsia="zh-CN"/>
        </w:rPr>
        <w:t>0.63</w:t>
      </w:r>
      <w:r>
        <w:rPr>
          <w:rFonts w:hint="default" w:ascii="Times New Roman" w:hAnsi="Times New Roman" w:eastAsia="方正仿宋_GBK"/>
          <w:sz w:val="32"/>
          <w:szCs w:val="32"/>
          <w:shd w:val="clear" w:color="auto" w:fill="FFFFFF"/>
        </w:rPr>
        <w:t>万元、福利费</w:t>
      </w:r>
      <w:r>
        <w:rPr>
          <w:rFonts w:hint="eastAsia" w:ascii="Times New Roman" w:hAnsi="Times New Roman" w:eastAsia="方正仿宋_GBK"/>
          <w:sz w:val="32"/>
          <w:szCs w:val="32"/>
          <w:shd w:val="clear" w:color="auto" w:fill="FFFFFF"/>
          <w:lang w:val="en-US" w:eastAsia="zh-CN"/>
        </w:rPr>
        <w:t>1.5</w:t>
      </w:r>
      <w:r>
        <w:rPr>
          <w:rFonts w:hint="default" w:ascii="Times New Roman" w:hAnsi="Times New Roman" w:eastAsia="方正仿宋_GBK"/>
          <w:sz w:val="32"/>
          <w:szCs w:val="32"/>
          <w:shd w:val="clear" w:color="auto" w:fill="FFFFFF"/>
        </w:rPr>
        <w:t>万元、公务用车运行费</w:t>
      </w:r>
      <w:r>
        <w:rPr>
          <w:rFonts w:hint="eastAsia" w:ascii="Times New Roman" w:hAnsi="Times New Roman" w:eastAsia="方正仿宋_GBK"/>
          <w:sz w:val="32"/>
          <w:szCs w:val="32"/>
          <w:shd w:val="clear" w:color="auto" w:fill="FFFFFF"/>
          <w:lang w:val="en-US" w:eastAsia="zh-CN"/>
        </w:rPr>
        <w:t>3.49</w:t>
      </w:r>
      <w:r>
        <w:rPr>
          <w:rFonts w:hint="default" w:ascii="Times New Roman" w:hAnsi="Times New Roman" w:eastAsia="方正仿宋_GBK"/>
          <w:sz w:val="32"/>
          <w:szCs w:val="32"/>
          <w:shd w:val="clear" w:color="auto" w:fill="FFFFFF"/>
        </w:rPr>
        <w:t>万元、其他交通费</w:t>
      </w:r>
      <w:r>
        <w:rPr>
          <w:rFonts w:hint="eastAsia" w:ascii="Times New Roman" w:hAnsi="Times New Roman" w:eastAsia="方正仿宋_GBK"/>
          <w:sz w:val="32"/>
          <w:szCs w:val="32"/>
          <w:shd w:val="clear" w:color="auto" w:fill="FFFFFF"/>
          <w:lang w:val="en-US" w:eastAsia="zh-CN"/>
        </w:rPr>
        <w:t>1.01</w:t>
      </w:r>
      <w:r>
        <w:rPr>
          <w:rFonts w:hint="default" w:ascii="Times New Roman" w:hAnsi="Times New Roman" w:eastAsia="方正仿宋_GBK"/>
          <w:sz w:val="32"/>
          <w:szCs w:val="32"/>
          <w:shd w:val="clear" w:color="auto" w:fill="FFFFFF"/>
        </w:rPr>
        <w:t>万元、其他商品服务支出</w:t>
      </w:r>
      <w:r>
        <w:rPr>
          <w:rFonts w:hint="eastAsia" w:ascii="Times New Roman" w:hAnsi="Times New Roman" w:eastAsia="方正仿宋_GBK"/>
          <w:sz w:val="32"/>
          <w:szCs w:val="32"/>
          <w:shd w:val="clear" w:color="auto" w:fill="FFFFFF"/>
          <w:lang w:val="en-US" w:eastAsia="zh-CN"/>
        </w:rPr>
        <w:t>1.42万元</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机关运行经费较上年支出数</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lang w:val="en-US" w:eastAsia="zh-CN"/>
        </w:rPr>
        <w:t>0.2</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上升</w:t>
      </w:r>
      <w:r>
        <w:rPr>
          <w:rFonts w:hint="eastAsia" w:ascii="Times New Roman" w:hAnsi="Times New Roman" w:eastAsia="方正仿宋_GBK" w:cs="Times New Roman"/>
          <w:sz w:val="32"/>
          <w:szCs w:val="32"/>
          <w:shd w:val="clear" w:color="auto" w:fill="FFFFFF"/>
          <w:lang w:val="en-US" w:eastAsia="zh-CN"/>
        </w:rPr>
        <w:t>0.86</w:t>
      </w:r>
      <w:r>
        <w:rPr>
          <w:rFonts w:hint="default" w:ascii="Times New Roman" w:hAnsi="Times New Roman" w:eastAsia="方正仿宋_GBK" w:cs="Times New Roman"/>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福利费减少，</w:t>
      </w:r>
      <w:r>
        <w:rPr>
          <w:rFonts w:hint="eastAsia" w:ascii="Times New Roman" w:hAnsi="Times New Roman" w:eastAsia="方正仿宋_GBK" w:cs="Times New Roman"/>
          <w:sz w:val="32"/>
          <w:szCs w:val="32"/>
          <w:shd w:val="clear" w:color="auto" w:fill="FFFFFF"/>
          <w:lang w:val="en-US" w:eastAsia="zh-CN"/>
        </w:rPr>
        <w:t>因返聘人员劳务费增加。</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辆、机要通信用车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辆、应急保障用车</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shd w:val="clear" w:color="auto" w:fill="FFFFFF"/>
        </w:rPr>
        <w:t>辆、执法执勤用车</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（四）政府采购支出情况说明</w:t>
      </w:r>
    </w:p>
    <w:p>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年度我单位未发生政府采购事项，无相关经费支出。</w:t>
      </w:r>
    </w:p>
    <w:p>
      <w:pPr>
        <w:pStyle w:val="12"/>
        <w:keepNext w:val="0"/>
        <w:keepLines w:val="0"/>
        <w:pageBreakBefore w:val="0"/>
        <w:widowControl w:val="0"/>
        <w:numPr>
          <w:ilvl w:val="0"/>
          <w:numId w:val="4"/>
        </w:numPr>
        <w:kinsoku/>
        <w:wordWrap/>
        <w:overflowPunct/>
        <w:topLinePunct w:val="0"/>
        <w:autoSpaceDE w:val="0"/>
        <w:autoSpaceDN/>
        <w:bidi w:val="0"/>
        <w:adjustRightInd/>
        <w:snapToGrid/>
        <w:spacing w:line="560"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（一）</w:t>
      </w:r>
      <w:r>
        <w:rPr>
          <w:rFonts w:hint="default" w:ascii="Times New Roman" w:hAnsi="Times New Roman" w:eastAsia="方正楷体_GBK" w:cs="Times New Roman"/>
          <w:b w:val="0"/>
          <w:bCs w:val="0"/>
          <w:sz w:val="32"/>
          <w:szCs w:val="32"/>
          <w:shd w:val="clear" w:color="auto" w:fill="FFFFFF"/>
          <w:lang w:eastAsia="zh-CN" w:bidi="ar"/>
        </w:rPr>
        <w:t>部门</w:t>
      </w:r>
      <w:r>
        <w:rPr>
          <w:rFonts w:hint="default" w:ascii="Times New Roman" w:hAnsi="Times New Roman" w:eastAsia="方正楷体_GBK" w:cs="Times New Roman"/>
          <w:b w:val="0"/>
          <w:bCs w:val="0"/>
          <w:sz w:val="32"/>
          <w:szCs w:val="32"/>
          <w:shd w:val="clear" w:color="auto" w:fill="FFFFFF"/>
          <w:lang w:bidi="ar"/>
        </w:rPr>
        <w:t>自评情况</w:t>
      </w:r>
    </w:p>
    <w:p>
      <w:pPr>
        <w:pStyle w:val="7"/>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eastAsia" w:ascii="Times New Roman" w:hAnsi="Times New Roman" w:eastAsia="方正仿宋_GBK" w:cs="宋体"/>
          <w:kern w:val="0"/>
          <w:sz w:val="32"/>
          <w:szCs w:val="32"/>
        </w:rPr>
        <w:t>根据预算绩效管理要求，</w:t>
      </w:r>
      <w:r>
        <w:rPr>
          <w:rFonts w:hint="eastAsia" w:ascii="Times New Roman" w:hAnsi="Times New Roman" w:eastAsia="方正仿宋_GBK" w:cs="Times New Roman"/>
          <w:kern w:val="0"/>
          <w:sz w:val="32"/>
          <w:szCs w:val="32"/>
          <w:lang w:eastAsia="zh-CN"/>
        </w:rPr>
        <w:t>我</w:t>
      </w:r>
      <w:r>
        <w:rPr>
          <w:rFonts w:hint="default" w:ascii="Times New Roman" w:hAnsi="Times New Roman" w:eastAsia="方正仿宋_GBK" w:cs="Times New Roman"/>
          <w:kern w:val="0"/>
          <w:sz w:val="32"/>
          <w:szCs w:val="32"/>
        </w:rPr>
        <w:t>部门对</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lang w:eastAsia="zh-CN"/>
        </w:rPr>
        <w:t>部门整体和</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个</w:t>
      </w:r>
      <w:r>
        <w:rPr>
          <w:rFonts w:hint="default" w:ascii="Times New Roman" w:hAnsi="Times New Roman" w:eastAsia="方正仿宋_GBK" w:cs="Times New Roman"/>
          <w:kern w:val="0"/>
          <w:sz w:val="32"/>
          <w:szCs w:val="32"/>
        </w:rPr>
        <w:t>二级项目开展了绩效自评，</w:t>
      </w:r>
      <w:r>
        <w:rPr>
          <w:rFonts w:hint="default" w:ascii="Times New Roman" w:hAnsi="Times New Roman" w:eastAsia="方正仿宋_GBK" w:cs="Times New Roman"/>
          <w:kern w:val="0"/>
          <w:sz w:val="32"/>
          <w:szCs w:val="32"/>
          <w:lang w:eastAsia="zh-CN"/>
        </w:rPr>
        <w:t>以填报目标自评表形式开展自评</w:t>
      </w:r>
      <w:r>
        <w:rPr>
          <w:rFonts w:hint="default" w:ascii="Times New Roman" w:hAnsi="Times New Roman" w:eastAsia="方正仿宋_GBK" w:cs="Times New Roman"/>
          <w:kern w:val="0"/>
          <w:sz w:val="32"/>
          <w:szCs w:val="32"/>
          <w:lang w:val="en-US" w:eastAsia="zh-CN"/>
        </w:rPr>
        <w:t>4项，</w:t>
      </w:r>
      <w:r>
        <w:rPr>
          <w:rFonts w:hint="default" w:ascii="Times New Roman" w:hAnsi="Times New Roman" w:eastAsia="方正仿宋_GBK" w:cs="Times New Roman"/>
          <w:kern w:val="0"/>
          <w:sz w:val="32"/>
          <w:szCs w:val="32"/>
        </w:rPr>
        <w:t>涉及财政拨款项目支出</w:t>
      </w:r>
      <w:r>
        <w:rPr>
          <w:rFonts w:hint="eastAsia" w:ascii="Times New Roman" w:hAnsi="Times New Roman" w:eastAsia="方正仿宋_GBK" w:cs="Times New Roman"/>
          <w:kern w:val="0"/>
          <w:sz w:val="32"/>
          <w:szCs w:val="32"/>
          <w:lang w:val="en-US" w:eastAsia="zh-CN"/>
        </w:rPr>
        <w:t>14</w:t>
      </w:r>
      <w:r>
        <w:rPr>
          <w:rFonts w:hint="default" w:ascii="Times New Roman" w:hAnsi="Times New Roman" w:eastAsia="方正仿宋_GBK" w:cs="Times New Roman"/>
          <w:kern w:val="0"/>
          <w:sz w:val="32"/>
          <w:szCs w:val="32"/>
          <w:lang w:val="en-US" w:eastAsia="zh-CN"/>
        </w:rPr>
        <w:t>.72</w:t>
      </w:r>
      <w:r>
        <w:rPr>
          <w:rFonts w:hint="default"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详见附件。</w:t>
      </w:r>
      <w:r>
        <w:rPr>
          <w:rFonts w:hint="eastAsia" w:ascii="Times New Roman" w:hAnsi="Times New Roman" w:eastAsia="方正仿宋_GBK" w:cs="Times New Roman"/>
          <w:kern w:val="0"/>
          <w:sz w:val="32"/>
          <w:szCs w:val="32"/>
          <w:lang w:eastAsia="zh-CN"/>
        </w:rPr>
        <w:t>从评价情况来看，严格按照目标绩效管理计划指标执行，为更好地服务职工群众而努力。</w:t>
      </w:r>
      <w:bookmarkStart w:id="0" w:name="_GoBack"/>
      <w:bookmarkEnd w:id="0"/>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（二）部门绩效评价情况</w:t>
      </w:r>
    </w:p>
    <w:p>
      <w:pPr>
        <w:pStyle w:val="15"/>
        <w:keepNext w:val="0"/>
        <w:keepLines w:val="0"/>
        <w:pageBreakBefore w:val="0"/>
        <w:widowControl/>
        <w:kinsoku/>
        <w:wordWrap/>
        <w:overflowPunct/>
        <w:topLinePunct w:val="0"/>
        <w:autoSpaceDE w:val="0"/>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我部门对</w:t>
      </w:r>
      <w:r>
        <w:rPr>
          <w:rFonts w:hint="eastAsia" w:ascii="Times New Roman" w:hAnsi="Times New Roman" w:eastAsia="方正仿宋_GBK" w:cs="Times New Roman"/>
          <w:sz w:val="32"/>
          <w:szCs w:val="32"/>
          <w:shd w:val="clear" w:color="auto" w:fill="FFFFFF"/>
          <w:lang w:eastAsia="zh-CN" w:bidi="ar"/>
        </w:rPr>
        <w:t>刘国芬劳模补助</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0.72</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县总工会第十二次代表大会经费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14</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32"/>
          <w:shd w:val="clear" w:color="auto" w:fill="FFFFFF"/>
          <w:lang w:eastAsia="zh-CN"/>
        </w:rPr>
      </w:pPr>
      <w:r>
        <w:rPr>
          <w:rFonts w:hint="eastAsia" w:ascii="Times New Roman" w:hAnsi="Times New Roman" w:eastAsia="方正仿宋_GBK"/>
          <w:sz w:val="32"/>
          <w:szCs w:val="32"/>
          <w:shd w:val="clear" w:color="auto" w:fill="FFFFFF"/>
          <w:lang w:eastAsia="zh-CN"/>
        </w:rPr>
        <w:t>县财政局</w:t>
      </w:r>
      <w:r>
        <w:rPr>
          <w:rFonts w:hint="default" w:ascii="Times New Roman" w:hAnsi="Times New Roman" w:eastAsia="方正仿宋_GBK"/>
          <w:sz w:val="32"/>
          <w:szCs w:val="32"/>
          <w:shd w:val="clear" w:color="auto" w:fill="FFFFFF"/>
        </w:rPr>
        <w:t>未委托</w:t>
      </w:r>
      <w:r>
        <w:rPr>
          <w:rFonts w:hint="eastAsia" w:ascii="Times New Roman" w:hAnsi="Times New Roman" w:eastAsia="方正仿宋_GBK"/>
          <w:sz w:val="32"/>
          <w:szCs w:val="32"/>
          <w:shd w:val="clear" w:color="auto" w:fill="FFFFFF"/>
          <w:lang w:eastAsia="zh-CN"/>
        </w:rPr>
        <w:t>第三方开展绩效评价。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eastAsia" w:ascii="Times New Roman" w:hAnsi="Times New Roman" w:eastAsia="方正仿宋_GBK" w:cs="Times New Roman"/>
          <w:sz w:val="32"/>
          <w:szCs w:val="32"/>
          <w:shd w:val="clear" w:color="auto" w:fill="FFFFFF"/>
          <w:lang w:eastAsia="zh-CN"/>
        </w:rPr>
        <w:t>（联系人：王蔓，联系电话：</w:t>
      </w:r>
      <w:r>
        <w:rPr>
          <w:rFonts w:hint="eastAsia" w:ascii="Times New Roman" w:hAnsi="Times New Roman" w:eastAsia="方正仿宋_GBK" w:cs="Times New Roman"/>
          <w:sz w:val="32"/>
          <w:szCs w:val="32"/>
          <w:shd w:val="clear" w:color="auto" w:fill="FFFFFF"/>
          <w:lang w:val="en-US" w:eastAsia="zh-CN"/>
        </w:rPr>
        <w:t>023-76662599</w:t>
      </w:r>
      <w:r>
        <w:rPr>
          <w:rFonts w:hint="eastAsia" w:ascii="Times New Roman" w:hAnsi="Times New Roman" w:eastAsia="方正仿宋_GBK" w:cs="Times New Roman"/>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line="560" w:lineRule="exact"/>
        <w:ind w:firstLine="643" w:firstLineChars="200"/>
        <w:jc w:val="both"/>
        <w:textAlignment w:val="auto"/>
        <w:outlineLvl w:val="9"/>
        <w:rPr>
          <w:rStyle w:val="9"/>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sz w:val="21"/>
          <w:szCs w:val="21"/>
        </w:rPr>
      </w:pPr>
    </w:p>
    <w:tbl>
      <w:tblPr>
        <w:tblStyle w:val="10"/>
        <w:tblW w:w="13213" w:type="dxa"/>
        <w:tblInd w:w="0" w:type="dxa"/>
        <w:shd w:val="clear" w:color="auto" w:fill="auto"/>
        <w:tblLayout w:type="fixed"/>
        <w:tblCellMar>
          <w:top w:w="0" w:type="dxa"/>
          <w:left w:w="0" w:type="dxa"/>
          <w:bottom w:w="0" w:type="dxa"/>
          <w:right w:w="0" w:type="dxa"/>
        </w:tblCellMar>
      </w:tblPr>
      <w:tblGrid>
        <w:gridCol w:w="4346"/>
        <w:gridCol w:w="1660"/>
        <w:gridCol w:w="4046"/>
        <w:gridCol w:w="3161"/>
      </w:tblGrid>
      <w:tr>
        <w:tblPrEx>
          <w:tblLayout w:type="fixed"/>
          <w:tblCellMar>
            <w:top w:w="0" w:type="dxa"/>
            <w:left w:w="0" w:type="dxa"/>
            <w:bottom w:w="0" w:type="dxa"/>
            <w:right w:w="0" w:type="dxa"/>
          </w:tblCellMar>
        </w:tblPrEx>
        <w:trPr>
          <w:trHeight w:val="565" w:hRule="atLeast"/>
        </w:trPr>
        <w:tc>
          <w:tcPr>
            <w:tcW w:w="1321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289" w:hRule="atLeast"/>
        </w:trPr>
        <w:tc>
          <w:tcPr>
            <w:tcW w:w="43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60"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40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16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Layout w:type="fixed"/>
          <w:tblCellMar>
            <w:top w:w="0" w:type="dxa"/>
            <w:left w:w="0" w:type="dxa"/>
            <w:bottom w:w="0" w:type="dxa"/>
            <w:right w:w="0" w:type="dxa"/>
          </w:tblCellMar>
        </w:tblPrEx>
        <w:trPr>
          <w:trHeight w:val="289" w:hRule="atLeast"/>
        </w:trPr>
        <w:tc>
          <w:tcPr>
            <w:tcW w:w="434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tabs>
                <w:tab w:val="left" w:pos="2594"/>
              </w:tabs>
              <w:jc w:val="left"/>
              <w:textAlignment w:val="bottom"/>
              <w:rPr>
                <w:rFonts w:hint="eastAsia" w:ascii="宋体" w:hAnsi="宋体" w:eastAsia="宋体" w:cs="宋体"/>
                <w:i w:val="0"/>
                <w:color w:val="000000"/>
                <w:sz w:val="24"/>
                <w:szCs w:val="24"/>
                <w:u w:val="none"/>
                <w:lang w:val="en-US" w:eastAsia="zh-CN"/>
              </w:rPr>
            </w:pPr>
            <w:r>
              <w:rPr>
                <w:rFonts w:hint="eastAsia" w:cs="宋体"/>
                <w:sz w:val="24"/>
                <w:szCs w:val="24"/>
                <w:lang w:eastAsia="zh-CN"/>
              </w:rPr>
              <w:t>公开部门</w:t>
            </w:r>
            <w:r>
              <w:rPr>
                <w:rFonts w:hint="eastAsia" w:ascii="宋体" w:hAnsi="宋体" w:eastAsia="宋体" w:cs="宋体"/>
                <w:sz w:val="24"/>
                <w:szCs w:val="24"/>
              </w:rPr>
              <w:t>：</w:t>
            </w:r>
            <w:r>
              <w:rPr>
                <w:rFonts w:hint="eastAsia" w:cs="宋体"/>
                <w:sz w:val="24"/>
                <w:szCs w:val="24"/>
                <w:lang w:eastAsia="zh-CN"/>
              </w:rPr>
              <w:t>秀山土家族苗族自治县总工会</w:t>
            </w:r>
          </w:p>
        </w:tc>
        <w:tc>
          <w:tcPr>
            <w:tcW w:w="1660"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40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16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Layout w:type="fixed"/>
          <w:tblCellMar>
            <w:top w:w="0" w:type="dxa"/>
            <w:left w:w="0" w:type="dxa"/>
            <w:bottom w:w="0" w:type="dxa"/>
            <w:right w:w="0" w:type="dxa"/>
          </w:tblCellMar>
        </w:tblPrEx>
        <w:trPr>
          <w:trHeight w:val="298" w:hRule="atLeast"/>
        </w:trPr>
        <w:tc>
          <w:tcPr>
            <w:tcW w:w="60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720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6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16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269.41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i w:val="0"/>
                <w:color w:val="000000"/>
                <w:sz w:val="22"/>
                <w:szCs w:val="22"/>
                <w:u w:val="none"/>
                <w:lang w:val="en-US" w:eastAsia="zh-CN"/>
              </w:rPr>
              <w:t>192.43</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660"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49.74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9.31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17.93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269.41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269.41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0.00 </w:t>
            </w:r>
          </w:p>
        </w:tc>
        <w:tc>
          <w:tcPr>
            <w:tcW w:w="40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16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0.00 </w:t>
            </w:r>
          </w:p>
        </w:tc>
      </w:tr>
      <w:tr>
        <w:tblPrEx>
          <w:shd w:val="clear" w:color="auto" w:fill="auto"/>
          <w:tblLayout w:type="fixed"/>
          <w:tblCellMar>
            <w:top w:w="0" w:type="dxa"/>
            <w:left w:w="0" w:type="dxa"/>
            <w:bottom w:w="0" w:type="dxa"/>
            <w:right w:w="0" w:type="dxa"/>
          </w:tblCellMar>
        </w:tblPrEx>
        <w:trPr>
          <w:trHeight w:val="307" w:hRule="atLeast"/>
        </w:trPr>
        <w:tc>
          <w:tcPr>
            <w:tcW w:w="43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269.41 </w:t>
            </w:r>
          </w:p>
        </w:tc>
        <w:tc>
          <w:tcPr>
            <w:tcW w:w="404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269.41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10"/>
        <w:tblW w:w="13213" w:type="dxa"/>
        <w:tblInd w:w="0" w:type="dxa"/>
        <w:shd w:val="clear" w:color="auto" w:fill="auto"/>
        <w:tblLayout w:type="fixed"/>
        <w:tblCellMar>
          <w:top w:w="0" w:type="dxa"/>
          <w:left w:w="0" w:type="dxa"/>
          <w:bottom w:w="0" w:type="dxa"/>
          <w:right w:w="0" w:type="dxa"/>
        </w:tblCellMar>
      </w:tblPr>
      <w:tblGrid>
        <w:gridCol w:w="1154"/>
        <w:gridCol w:w="1973"/>
        <w:gridCol w:w="1434"/>
        <w:gridCol w:w="1426"/>
        <w:gridCol w:w="1168"/>
        <w:gridCol w:w="1167"/>
        <w:gridCol w:w="1167"/>
        <w:gridCol w:w="1168"/>
        <w:gridCol w:w="1167"/>
        <w:gridCol w:w="1389"/>
      </w:tblGrid>
      <w:tr>
        <w:tblPrEx>
          <w:shd w:val="clear" w:color="auto" w:fill="auto"/>
          <w:tblLayout w:type="fixed"/>
          <w:tblCellMar>
            <w:top w:w="0" w:type="dxa"/>
            <w:left w:w="0" w:type="dxa"/>
            <w:bottom w:w="0" w:type="dxa"/>
            <w:right w:w="0" w:type="dxa"/>
          </w:tblCellMar>
        </w:tblPrEx>
        <w:trPr>
          <w:trHeight w:val="641" w:hRule="atLeast"/>
        </w:trPr>
        <w:tc>
          <w:tcPr>
            <w:tcW w:w="13213"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28" w:hRule="atLeast"/>
        </w:trPr>
        <w:tc>
          <w:tcPr>
            <w:tcW w:w="3127"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sz w:val="22"/>
                <w:szCs w:val="22"/>
                <w:u w:val="none"/>
                <w:lang w:val="en-US" w:eastAsia="zh-CN"/>
              </w:rPr>
            </w:pPr>
            <w:r>
              <w:rPr>
                <w:rFonts w:hint="eastAsia" w:cs="宋体"/>
                <w:sz w:val="24"/>
                <w:szCs w:val="24"/>
                <w:lang w:eastAsia="zh-CN"/>
              </w:rPr>
              <w:t>公开部门</w:t>
            </w:r>
            <w:r>
              <w:rPr>
                <w:rFonts w:hint="eastAsia" w:ascii="宋体" w:hAnsi="宋体" w:eastAsia="宋体" w:cs="宋体"/>
                <w:sz w:val="24"/>
                <w:szCs w:val="24"/>
              </w:rPr>
              <w:t>：</w:t>
            </w:r>
            <w:r>
              <w:rPr>
                <w:rFonts w:hint="eastAsia" w:cs="宋体"/>
                <w:sz w:val="24"/>
                <w:szCs w:val="24"/>
                <w:lang w:eastAsia="zh-CN"/>
              </w:rPr>
              <w:t>秀山土家族苗族自治县总工会</w:t>
            </w: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4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38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Layout w:type="fixed"/>
          <w:tblCellMar>
            <w:top w:w="0" w:type="dxa"/>
            <w:left w:w="0" w:type="dxa"/>
            <w:bottom w:w="0" w:type="dxa"/>
            <w:right w:w="0" w:type="dxa"/>
          </w:tblCellMar>
        </w:tblPrEx>
        <w:trPr>
          <w:trHeight w:val="328" w:hRule="atLeast"/>
        </w:trPr>
        <w:tc>
          <w:tcPr>
            <w:tcW w:w="312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2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6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38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Layout w:type="fixed"/>
          <w:tblCellMar>
            <w:top w:w="0" w:type="dxa"/>
            <w:left w:w="0" w:type="dxa"/>
            <w:bottom w:w="0" w:type="dxa"/>
            <w:right w:w="0" w:type="dxa"/>
          </w:tblCellMar>
        </w:tblPrEx>
        <w:trPr>
          <w:trHeight w:val="431" w:hRule="atLeast"/>
        </w:trPr>
        <w:tc>
          <w:tcPr>
            <w:tcW w:w="3127"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34" w:hRule="atLeast"/>
        </w:trPr>
        <w:tc>
          <w:tcPr>
            <w:tcW w:w="115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197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1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7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34" w:hRule="atLeast"/>
        </w:trPr>
        <w:tc>
          <w:tcPr>
            <w:tcW w:w="11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7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34" w:hRule="atLeast"/>
        </w:trPr>
        <w:tc>
          <w:tcPr>
            <w:tcW w:w="11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7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38" w:hRule="atLeast"/>
        </w:trPr>
        <w:tc>
          <w:tcPr>
            <w:tcW w:w="31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269.41</w:t>
            </w:r>
          </w:p>
        </w:tc>
        <w:tc>
          <w:tcPr>
            <w:tcW w:w="1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269.41</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0.00 </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1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1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3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192.43</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192.43</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192.43</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192.43</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172.43</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172.43</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2010602</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0.72</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0.72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6"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2010604</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预算改革业务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财政国库业务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2010606</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财政监察</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2010607</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2010608</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财政委托业务支出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2010650</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1.09</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1.09</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2010699</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其他财政事务支出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18.19</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18.19</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行政单位离退休</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2.24</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2.24</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2080502</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事业单位离退休</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19.40</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19.40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9.70</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9.70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54"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197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143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18.40</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18.40</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197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48" w:hRule="atLeast"/>
        </w:trPr>
        <w:tc>
          <w:tcPr>
            <w:tcW w:w="11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1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10"/>
        <w:tblW w:w="13213" w:type="dxa"/>
        <w:tblInd w:w="0" w:type="dxa"/>
        <w:shd w:val="clear" w:color="auto" w:fill="auto"/>
        <w:tblLayout w:type="fixed"/>
        <w:tblCellMar>
          <w:top w:w="0" w:type="dxa"/>
          <w:left w:w="0" w:type="dxa"/>
          <w:bottom w:w="0" w:type="dxa"/>
          <w:right w:w="0" w:type="dxa"/>
        </w:tblCellMar>
      </w:tblPr>
      <w:tblGrid>
        <w:gridCol w:w="1240"/>
        <w:gridCol w:w="2102"/>
        <w:gridCol w:w="1644"/>
        <w:gridCol w:w="1645"/>
        <w:gridCol w:w="1643"/>
        <w:gridCol w:w="1645"/>
        <w:gridCol w:w="1643"/>
        <w:gridCol w:w="1651"/>
      </w:tblGrid>
      <w:tr>
        <w:tblPrEx>
          <w:tblLayout w:type="fixed"/>
          <w:tblCellMar>
            <w:top w:w="0" w:type="dxa"/>
            <w:left w:w="0" w:type="dxa"/>
            <w:bottom w:w="0" w:type="dxa"/>
            <w:right w:w="0" w:type="dxa"/>
          </w:tblCellMar>
        </w:tblPrEx>
        <w:trPr>
          <w:trHeight w:val="654" w:hRule="atLeast"/>
        </w:trPr>
        <w:tc>
          <w:tcPr>
            <w:tcW w:w="13213"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42" w:hRule="atLeast"/>
        </w:trPr>
        <w:tc>
          <w:tcPr>
            <w:tcW w:w="33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rFonts w:hint="eastAsia" w:cs="宋体"/>
                <w:sz w:val="24"/>
                <w:szCs w:val="24"/>
                <w:lang w:eastAsia="zh-CN"/>
              </w:rPr>
              <w:t>秀山土家族苗族自治县总工会</w:t>
            </w:r>
          </w:p>
        </w:tc>
        <w:tc>
          <w:tcPr>
            <w:tcW w:w="16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5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Layout w:type="fixed"/>
          <w:tblCellMar>
            <w:top w:w="0" w:type="dxa"/>
            <w:left w:w="0" w:type="dxa"/>
            <w:bottom w:w="0" w:type="dxa"/>
            <w:right w:w="0" w:type="dxa"/>
          </w:tblCellMar>
        </w:tblPrEx>
        <w:trPr>
          <w:trHeight w:val="342" w:hRule="atLeast"/>
        </w:trPr>
        <w:tc>
          <w:tcPr>
            <w:tcW w:w="33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5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62" w:hRule="atLeast"/>
        </w:trPr>
        <w:tc>
          <w:tcPr>
            <w:tcW w:w="33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38" w:hRule="atLeast"/>
        </w:trPr>
        <w:tc>
          <w:tcPr>
            <w:tcW w:w="1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2102"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1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0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1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0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1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02"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62" w:hRule="atLeast"/>
        </w:trPr>
        <w:tc>
          <w:tcPr>
            <w:tcW w:w="33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269.41</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250.49</w:t>
            </w:r>
          </w:p>
        </w:tc>
        <w:tc>
          <w:tcPr>
            <w:tcW w:w="1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18.91</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16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6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192.43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173.52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18.91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192.43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173.52</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18.91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172.43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172.43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2010602</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0.72</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0.72</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2010604</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预算改革业务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2010605</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财政国库业务</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2010606</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财政监察</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2010607</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2010608</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财政委托业务支出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2010650</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1.09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1.09</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2010699</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其他财政事务支出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18.19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18.19</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49.74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行政单位离退休</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2.24</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2.24</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2080502</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事业单位离退休</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19.40</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19.40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9.70</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9.70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18.40</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18.40</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9.31</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12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2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1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17.93</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10"/>
        <w:tblW w:w="13213" w:type="dxa"/>
        <w:tblInd w:w="0" w:type="dxa"/>
        <w:shd w:val="clear" w:color="auto" w:fill="auto"/>
        <w:tblLayout w:type="fixed"/>
        <w:tblCellMar>
          <w:top w:w="0" w:type="dxa"/>
          <w:left w:w="0" w:type="dxa"/>
          <w:bottom w:w="0" w:type="dxa"/>
          <w:right w:w="0" w:type="dxa"/>
        </w:tblCellMar>
      </w:tblPr>
      <w:tblGrid>
        <w:gridCol w:w="2404"/>
        <w:gridCol w:w="1580"/>
        <w:gridCol w:w="2217"/>
        <w:gridCol w:w="1745"/>
        <w:gridCol w:w="1744"/>
        <w:gridCol w:w="1744"/>
        <w:gridCol w:w="1779"/>
      </w:tblGrid>
      <w:tr>
        <w:tblPrEx>
          <w:shd w:val="clear" w:color="auto" w:fill="auto"/>
          <w:tblLayout w:type="fixed"/>
          <w:tblCellMar>
            <w:top w:w="0" w:type="dxa"/>
            <w:left w:w="0" w:type="dxa"/>
            <w:bottom w:w="0" w:type="dxa"/>
            <w:right w:w="0" w:type="dxa"/>
          </w:tblCellMar>
        </w:tblPrEx>
        <w:trPr>
          <w:trHeight w:val="90" w:hRule="atLeast"/>
        </w:trPr>
        <w:tc>
          <w:tcPr>
            <w:tcW w:w="13213"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3984"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Arial" w:hAnsi="Arial" w:cs="Arial" w:eastAsiaTheme="minorEastAsia"/>
                <w:i w:val="0"/>
                <w:color w:val="000000"/>
                <w:sz w:val="22"/>
                <w:szCs w:val="22"/>
                <w:u w:val="none"/>
                <w:lang w:val="en-US" w:eastAsia="zh-CN"/>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rFonts w:hint="eastAsia" w:cs="宋体"/>
                <w:sz w:val="24"/>
                <w:szCs w:val="24"/>
                <w:lang w:eastAsia="zh-CN"/>
              </w:rPr>
              <w:t>秀山土家族苗族自治县总工会</w:t>
            </w:r>
          </w:p>
        </w:tc>
        <w:tc>
          <w:tcPr>
            <w:tcW w:w="22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90" w:hRule="atLeast"/>
        </w:trPr>
        <w:tc>
          <w:tcPr>
            <w:tcW w:w="39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2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74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74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7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90" w:hRule="atLeast"/>
        </w:trPr>
        <w:tc>
          <w:tcPr>
            <w:tcW w:w="398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9229"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24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2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7012"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24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1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17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269.41</w:t>
            </w: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192.43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192.43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49.74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49.74</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9.31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9.31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17.93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17.93</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269.41</w:t>
            </w: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269.41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269.41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221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2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269.41</w:t>
            </w:r>
          </w:p>
        </w:tc>
        <w:tc>
          <w:tcPr>
            <w:tcW w:w="221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269.41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i w:val="0"/>
                <w:color w:val="000000"/>
                <w:sz w:val="20"/>
                <w:szCs w:val="20"/>
                <w:u w:val="none"/>
                <w:lang w:val="en-US" w:eastAsia="zh-CN"/>
              </w:rPr>
              <w:t>269.41</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13213" w:type="dxa"/>
        <w:tblInd w:w="0" w:type="dxa"/>
        <w:shd w:val="clear" w:color="auto" w:fill="auto"/>
        <w:tblLayout w:type="fixed"/>
        <w:tblCellMar>
          <w:top w:w="0" w:type="dxa"/>
          <w:left w:w="0" w:type="dxa"/>
          <w:bottom w:w="0" w:type="dxa"/>
          <w:right w:w="0" w:type="dxa"/>
        </w:tblCellMar>
      </w:tblPr>
      <w:tblGrid>
        <w:gridCol w:w="1596"/>
        <w:gridCol w:w="3052"/>
        <w:gridCol w:w="2854"/>
        <w:gridCol w:w="2854"/>
        <w:gridCol w:w="1"/>
        <w:gridCol w:w="2856"/>
      </w:tblGrid>
      <w:tr>
        <w:tblPrEx>
          <w:shd w:val="clear" w:color="auto" w:fill="auto"/>
          <w:tblLayout w:type="fixed"/>
          <w:tblCellMar>
            <w:top w:w="0" w:type="dxa"/>
            <w:left w:w="0" w:type="dxa"/>
            <w:bottom w:w="0" w:type="dxa"/>
            <w:right w:w="0" w:type="dxa"/>
          </w:tblCellMar>
        </w:tblPrEx>
        <w:trPr>
          <w:trHeight w:val="322" w:hRule="atLeast"/>
        </w:trPr>
        <w:tc>
          <w:tcPr>
            <w:tcW w:w="13213"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165" w:hRule="atLeast"/>
        </w:trPr>
        <w:tc>
          <w:tcPr>
            <w:tcW w:w="464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Arial" w:hAnsi="Arial" w:cs="Arial" w:eastAsiaTheme="minorEastAsia"/>
                <w:i w:val="0"/>
                <w:color w:val="000000"/>
                <w:sz w:val="20"/>
                <w:szCs w:val="20"/>
                <w:u w:val="none"/>
                <w:lang w:val="en-US" w:eastAsia="zh-CN"/>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rFonts w:hint="eastAsia" w:cs="宋体"/>
                <w:sz w:val="24"/>
                <w:szCs w:val="24"/>
                <w:lang w:eastAsia="zh-CN"/>
              </w:rPr>
              <w:t>秀山土家族苗族自治县总工会</w:t>
            </w:r>
          </w:p>
        </w:tc>
        <w:tc>
          <w:tcPr>
            <w:tcW w:w="285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85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85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Layout w:type="fixed"/>
          <w:tblCellMar>
            <w:top w:w="0" w:type="dxa"/>
            <w:left w:w="0" w:type="dxa"/>
            <w:bottom w:w="0" w:type="dxa"/>
            <w:right w:w="0" w:type="dxa"/>
          </w:tblCellMar>
        </w:tblPrEx>
        <w:trPr>
          <w:trHeight w:val="165" w:hRule="atLeast"/>
        </w:trPr>
        <w:tc>
          <w:tcPr>
            <w:tcW w:w="464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5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55"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5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170" w:hRule="atLeast"/>
        </w:trPr>
        <w:tc>
          <w:tcPr>
            <w:tcW w:w="4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565"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12" w:hRule="atLeast"/>
        </w:trPr>
        <w:tc>
          <w:tcPr>
            <w:tcW w:w="159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0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8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857"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12" w:hRule="atLeast"/>
        </w:trPr>
        <w:tc>
          <w:tcPr>
            <w:tcW w:w="15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0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5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23" w:hRule="atLeast"/>
        </w:trPr>
        <w:tc>
          <w:tcPr>
            <w:tcW w:w="15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0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57"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170" w:hRule="atLeast"/>
        </w:trPr>
        <w:tc>
          <w:tcPr>
            <w:tcW w:w="464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269.41</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250.50</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18.91</w:t>
            </w: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192.43</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173.52</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18.91</w:t>
            </w: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财政事务</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192.43</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173.52</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18.91</w:t>
            </w: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172.43</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172.43</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0.72</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0.72</w:t>
            </w: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2010604</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预算改革业务</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财政国库业务</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财政监察</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2010607</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信息化建设</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财政委托业务支出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2010650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1.09</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1.09</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2010699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其他财政事务支出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18.19</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18.19</w:t>
            </w: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49.74</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49.74</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49.74</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49.74</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行政单位离退休</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2.24</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2.24</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事业单位离退休</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19.40</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19.40</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9.70</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9.70</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18.4</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18.4</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9.31</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9.31</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9.31</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9.31</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9.31</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9.31</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17.93</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17.93</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0"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17.93</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17.93</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175" w:hRule="atLeast"/>
        </w:trPr>
        <w:tc>
          <w:tcPr>
            <w:tcW w:w="15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17.93</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i w:val="0"/>
                <w:color w:val="000000"/>
                <w:sz w:val="22"/>
                <w:szCs w:val="22"/>
                <w:u w:val="none"/>
                <w:lang w:val="en-US" w:eastAsia="zh-CN"/>
              </w:rPr>
              <w:t>17.93</w:t>
            </w:r>
          </w:p>
        </w:tc>
        <w:tc>
          <w:tcPr>
            <w:tcW w:w="28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13213" w:type="dxa"/>
        <w:tblInd w:w="0" w:type="dxa"/>
        <w:shd w:val="clear" w:color="auto" w:fill="auto"/>
        <w:tblLayout w:type="fixed"/>
        <w:tblCellMar>
          <w:top w:w="0" w:type="dxa"/>
          <w:left w:w="0" w:type="dxa"/>
          <w:bottom w:w="0" w:type="dxa"/>
          <w:right w:w="0" w:type="dxa"/>
        </w:tblCellMar>
      </w:tblPr>
      <w:tblGrid>
        <w:gridCol w:w="764"/>
        <w:gridCol w:w="2073"/>
        <w:gridCol w:w="1677"/>
        <w:gridCol w:w="666"/>
        <w:gridCol w:w="1381"/>
        <w:gridCol w:w="1"/>
        <w:gridCol w:w="1628"/>
        <w:gridCol w:w="2"/>
        <w:gridCol w:w="893"/>
        <w:gridCol w:w="1"/>
        <w:gridCol w:w="2647"/>
        <w:gridCol w:w="1"/>
        <w:gridCol w:w="1479"/>
      </w:tblGrid>
      <w:tr>
        <w:tblPrEx>
          <w:shd w:val="clear" w:color="auto" w:fill="auto"/>
          <w:tblLayout w:type="fixed"/>
          <w:tblCellMar>
            <w:top w:w="0" w:type="dxa"/>
            <w:left w:w="0" w:type="dxa"/>
            <w:bottom w:w="0" w:type="dxa"/>
            <w:right w:w="0" w:type="dxa"/>
          </w:tblCellMar>
        </w:tblPrEx>
        <w:trPr>
          <w:trHeight w:val="590" w:hRule="atLeast"/>
        </w:trPr>
        <w:tc>
          <w:tcPr>
            <w:tcW w:w="13213" w:type="dxa"/>
            <w:gridSpan w:val="1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2837"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Arial" w:hAnsi="Arial" w:cs="Arial" w:eastAsiaTheme="minorEastAsia"/>
                <w:i w:val="0"/>
                <w:color w:val="000000"/>
                <w:sz w:val="22"/>
                <w:szCs w:val="22"/>
                <w:u w:val="none"/>
                <w:lang w:val="en-US" w:eastAsia="zh-CN"/>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w:t>
            </w:r>
            <w:r>
              <w:rPr>
                <w:rFonts w:hint="eastAsia" w:cs="宋体"/>
                <w:sz w:val="24"/>
                <w:szCs w:val="24"/>
                <w:lang w:eastAsia="zh-CN"/>
              </w:rPr>
              <w:t>秀山土家族苗族自治县总工会</w:t>
            </w:r>
          </w:p>
        </w:tc>
        <w:tc>
          <w:tcPr>
            <w:tcW w:w="167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38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63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9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48"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4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trHeight w:val="302" w:hRule="atLeast"/>
        </w:trPr>
        <w:tc>
          <w:tcPr>
            <w:tcW w:w="283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7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66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382"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63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894"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48"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7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11" w:hRule="atLeast"/>
        </w:trPr>
        <w:tc>
          <w:tcPr>
            <w:tcW w:w="451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8699" w:type="dxa"/>
            <w:gridSpan w:val="10"/>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76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0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67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66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13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62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89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64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48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799" w:hRule="atLeast"/>
        </w:trPr>
        <w:tc>
          <w:tcPr>
            <w:tcW w:w="76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7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9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4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8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206.31</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23.54</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50.44</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2.9</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41.61</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50.91</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6.72</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0.3</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0.56</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33"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19.40</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0.70</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9.70</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2.63</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64"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9.31</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1.2</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33"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1.70</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17.93</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20.64</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0.4</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1.2</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2.1</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18.4</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2.1</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2.24</w:t>
            </w: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0.63</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1.50</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3.49</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1.01</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1.42</w:t>
            </w: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11" w:hRule="atLeast"/>
        </w:trPr>
        <w:tc>
          <w:tcPr>
            <w:tcW w:w="7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138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21" w:hRule="atLeast"/>
        </w:trPr>
        <w:tc>
          <w:tcPr>
            <w:tcW w:w="283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16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226.95</w:t>
            </w:r>
          </w:p>
        </w:tc>
        <w:tc>
          <w:tcPr>
            <w:tcW w:w="7219" w:type="dxa"/>
            <w:gridSpan w:val="8"/>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14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23.54</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13213" w:type="dxa"/>
        <w:tblInd w:w="0" w:type="dxa"/>
        <w:shd w:val="clear" w:color="auto" w:fill="auto"/>
        <w:tblLayout w:type="fixed"/>
        <w:tblCellMar>
          <w:top w:w="0" w:type="dxa"/>
          <w:left w:w="0" w:type="dxa"/>
          <w:bottom w:w="0" w:type="dxa"/>
          <w:right w:w="0" w:type="dxa"/>
        </w:tblCellMar>
      </w:tblPr>
      <w:tblGrid>
        <w:gridCol w:w="1595"/>
        <w:gridCol w:w="2654"/>
        <w:gridCol w:w="1468"/>
        <w:gridCol w:w="1470"/>
        <w:gridCol w:w="1469"/>
        <w:gridCol w:w="1"/>
        <w:gridCol w:w="1469"/>
        <w:gridCol w:w="1519"/>
        <w:gridCol w:w="1568"/>
      </w:tblGrid>
      <w:tr>
        <w:tblPrEx>
          <w:shd w:val="clear" w:color="auto" w:fill="auto"/>
          <w:tblLayout w:type="fixed"/>
          <w:tblCellMar>
            <w:top w:w="0" w:type="dxa"/>
            <w:left w:w="0" w:type="dxa"/>
            <w:bottom w:w="0" w:type="dxa"/>
            <w:right w:w="0" w:type="dxa"/>
          </w:tblCellMar>
        </w:tblPrEx>
        <w:trPr>
          <w:trHeight w:val="644" w:hRule="atLeast"/>
        </w:trPr>
        <w:tc>
          <w:tcPr>
            <w:tcW w:w="13213"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249"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Arial" w:hAnsi="Arial" w:cs="Arial" w:eastAsiaTheme="minorEastAsia"/>
                <w:i w:val="0"/>
                <w:color w:val="000000"/>
                <w:sz w:val="20"/>
                <w:szCs w:val="20"/>
                <w:u w:val="none"/>
                <w:lang w:val="en-US" w:eastAsia="zh-CN"/>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w:t>
            </w:r>
            <w:r>
              <w:rPr>
                <w:rFonts w:hint="eastAsia" w:cs="宋体"/>
                <w:sz w:val="24"/>
                <w:szCs w:val="24"/>
                <w:lang w:eastAsia="zh-CN"/>
              </w:rPr>
              <w:t>秀山土家族苗族自治县总工会</w:t>
            </w:r>
          </w:p>
        </w:tc>
        <w:tc>
          <w:tcPr>
            <w:tcW w:w="14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4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4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47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6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shd w:val="clear" w:color="auto" w:fill="auto"/>
          <w:tblLayout w:type="fixed"/>
          <w:tblCellMar>
            <w:top w:w="0" w:type="dxa"/>
            <w:left w:w="0" w:type="dxa"/>
            <w:bottom w:w="0" w:type="dxa"/>
            <w:right w:w="0" w:type="dxa"/>
          </w:tblCellMar>
        </w:tblPrEx>
        <w:trPr>
          <w:trHeight w:val="329" w:hRule="atLeast"/>
        </w:trPr>
        <w:tc>
          <w:tcPr>
            <w:tcW w:w="42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7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6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470" w:type="dxa"/>
            <w:gridSpan w:val="2"/>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1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6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Layout w:type="fixed"/>
          <w:tblCellMar>
            <w:top w:w="0" w:type="dxa"/>
            <w:left w:w="0" w:type="dxa"/>
            <w:bottom w:w="0" w:type="dxa"/>
            <w:right w:w="0" w:type="dxa"/>
          </w:tblCellMar>
        </w:tblPrEx>
        <w:trPr>
          <w:trHeight w:val="339" w:hRule="atLeast"/>
        </w:trPr>
        <w:tc>
          <w:tcPr>
            <w:tcW w:w="42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4458" w:type="dxa"/>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shd w:val="clear" w:color="auto" w:fill="auto"/>
          <w:tblLayout w:type="fixed"/>
          <w:tblCellMar>
            <w:top w:w="0" w:type="dxa"/>
            <w:left w:w="0" w:type="dxa"/>
            <w:bottom w:w="0" w:type="dxa"/>
            <w:right w:w="0" w:type="dxa"/>
          </w:tblCellMar>
        </w:tblPrEx>
        <w:trPr>
          <w:trHeight w:val="335" w:hRule="atLeast"/>
        </w:trPr>
        <w:tc>
          <w:tcPr>
            <w:tcW w:w="15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26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4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5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35"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45" w:hRule="atLeast"/>
        </w:trPr>
        <w:tc>
          <w:tcPr>
            <w:tcW w:w="15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7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39" w:hRule="atLeast"/>
        </w:trPr>
        <w:tc>
          <w:tcPr>
            <w:tcW w:w="424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4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47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备注：本表反映部门本年度政府性基金预算财政拨款收入支出及结转和结余情况。本部门无政府性基金收支，故本表无数据。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13213" w:type="dxa"/>
        <w:tblInd w:w="0" w:type="dxa"/>
        <w:shd w:val="clear" w:color="auto" w:fill="auto"/>
        <w:tblLayout w:type="fixed"/>
        <w:tblCellMar>
          <w:top w:w="0" w:type="dxa"/>
          <w:left w:w="0" w:type="dxa"/>
          <w:bottom w:w="0" w:type="dxa"/>
          <w:right w:w="0" w:type="dxa"/>
        </w:tblCellMar>
      </w:tblPr>
      <w:tblGrid>
        <w:gridCol w:w="1623"/>
        <w:gridCol w:w="2628"/>
        <w:gridCol w:w="2816"/>
        <w:gridCol w:w="3225"/>
        <w:gridCol w:w="2921"/>
      </w:tblGrid>
      <w:tr>
        <w:tblPrEx>
          <w:shd w:val="clear" w:color="auto" w:fill="auto"/>
          <w:tblLayout w:type="fixed"/>
          <w:tblCellMar>
            <w:top w:w="0" w:type="dxa"/>
            <w:left w:w="0" w:type="dxa"/>
            <w:bottom w:w="0" w:type="dxa"/>
            <w:right w:w="0" w:type="dxa"/>
          </w:tblCellMar>
        </w:tblPrEx>
        <w:trPr>
          <w:trHeight w:val="650" w:hRule="atLeast"/>
        </w:trPr>
        <w:tc>
          <w:tcPr>
            <w:tcW w:w="13213"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251"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Arial" w:hAnsi="Arial" w:cs="Arial" w:eastAsiaTheme="minorEastAsia"/>
                <w:i w:val="0"/>
                <w:color w:val="000000"/>
                <w:sz w:val="20"/>
                <w:szCs w:val="20"/>
                <w:u w:val="none"/>
                <w:lang w:val="en-US" w:eastAsia="zh-CN"/>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w:t>
            </w:r>
            <w:r>
              <w:rPr>
                <w:rFonts w:hint="eastAsia" w:cs="宋体"/>
                <w:sz w:val="24"/>
                <w:szCs w:val="24"/>
                <w:lang w:eastAsia="zh-CN"/>
              </w:rPr>
              <w:t>秀山土家族苗族自治县总工会</w:t>
            </w:r>
          </w:p>
        </w:tc>
        <w:tc>
          <w:tcPr>
            <w:tcW w:w="28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22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Layout w:type="fixed"/>
          <w:tblCellMar>
            <w:top w:w="0" w:type="dxa"/>
            <w:left w:w="0" w:type="dxa"/>
            <w:bottom w:w="0" w:type="dxa"/>
            <w:right w:w="0" w:type="dxa"/>
          </w:tblCellMar>
        </w:tblPrEx>
        <w:trPr>
          <w:trHeight w:val="332" w:hRule="atLeast"/>
        </w:trPr>
        <w:tc>
          <w:tcPr>
            <w:tcW w:w="42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22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shd w:val="clear" w:color="auto" w:fill="auto"/>
          <w:tblLayout w:type="fixed"/>
          <w:tblCellMar>
            <w:top w:w="0" w:type="dxa"/>
            <w:left w:w="0" w:type="dxa"/>
            <w:bottom w:w="0" w:type="dxa"/>
            <w:right w:w="0" w:type="dxa"/>
          </w:tblCellMar>
        </w:tblPrEx>
        <w:trPr>
          <w:trHeight w:val="422" w:hRule="atLeast"/>
        </w:trPr>
        <w:tc>
          <w:tcPr>
            <w:tcW w:w="425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96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shd w:val="clear" w:color="auto" w:fill="auto"/>
          <w:tblLayout w:type="fixed"/>
          <w:tblCellMar>
            <w:top w:w="0" w:type="dxa"/>
            <w:left w:w="0" w:type="dxa"/>
            <w:bottom w:w="0" w:type="dxa"/>
            <w:right w:w="0" w:type="dxa"/>
          </w:tblCellMar>
        </w:tblPrEx>
        <w:trPr>
          <w:trHeight w:val="339" w:hRule="atLeast"/>
        </w:trPr>
        <w:tc>
          <w:tcPr>
            <w:tcW w:w="162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26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81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2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9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39" w:hRule="atLeast"/>
        </w:trPr>
        <w:tc>
          <w:tcPr>
            <w:tcW w:w="162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1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2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39" w:hRule="atLeast"/>
        </w:trPr>
        <w:tc>
          <w:tcPr>
            <w:tcW w:w="162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1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2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162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1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2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1" w:hRule="atLeast"/>
        </w:trPr>
        <w:tc>
          <w:tcPr>
            <w:tcW w:w="42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3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9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10"/>
        <w:tblW w:w="13213" w:type="dxa"/>
        <w:tblInd w:w="0" w:type="dxa"/>
        <w:shd w:val="clear" w:color="auto" w:fill="auto"/>
        <w:tblLayout w:type="fixed"/>
        <w:tblCellMar>
          <w:top w:w="0" w:type="dxa"/>
          <w:left w:w="0" w:type="dxa"/>
          <w:bottom w:w="0" w:type="dxa"/>
          <w:right w:w="0" w:type="dxa"/>
        </w:tblCellMar>
      </w:tblPr>
      <w:tblGrid>
        <w:gridCol w:w="3075"/>
        <w:gridCol w:w="2278"/>
        <w:gridCol w:w="1956"/>
        <w:gridCol w:w="3922"/>
        <w:gridCol w:w="1982"/>
      </w:tblGrid>
      <w:tr>
        <w:tblPrEx>
          <w:tblLayout w:type="fixed"/>
          <w:tblCellMar>
            <w:top w:w="0" w:type="dxa"/>
            <w:left w:w="0" w:type="dxa"/>
            <w:bottom w:w="0" w:type="dxa"/>
            <w:right w:w="0" w:type="dxa"/>
          </w:tblCellMar>
        </w:tblPrEx>
        <w:trPr>
          <w:trHeight w:val="486" w:hRule="atLeast"/>
        </w:trPr>
        <w:tc>
          <w:tcPr>
            <w:tcW w:w="13213"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49" w:hRule="atLeast"/>
        </w:trPr>
        <w:tc>
          <w:tcPr>
            <w:tcW w:w="30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278"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1956"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39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8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Layout w:type="fixed"/>
          <w:tblCellMar>
            <w:top w:w="0" w:type="dxa"/>
            <w:left w:w="0" w:type="dxa"/>
            <w:bottom w:w="0" w:type="dxa"/>
            <w:right w:w="0" w:type="dxa"/>
          </w:tblCellMar>
        </w:tblPrEx>
        <w:trPr>
          <w:trHeight w:val="486" w:hRule="atLeast"/>
        </w:trPr>
        <w:tc>
          <w:tcPr>
            <w:tcW w:w="307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Arial" w:hAnsi="Arial" w:cs="Arial" w:eastAsiaTheme="minorEastAsia"/>
                <w:i w:val="0"/>
                <w:color w:val="000000"/>
                <w:sz w:val="22"/>
                <w:szCs w:val="22"/>
                <w:u w:val="none"/>
                <w:lang w:val="en-US" w:eastAsia="zh-CN"/>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rFonts w:hint="eastAsia" w:cs="宋体"/>
                <w:sz w:val="24"/>
                <w:szCs w:val="24"/>
                <w:lang w:eastAsia="zh-CN"/>
              </w:rPr>
              <w:t>秀山土家族苗族自治县总工会</w:t>
            </w:r>
          </w:p>
        </w:tc>
        <w:tc>
          <w:tcPr>
            <w:tcW w:w="2278" w:type="dxa"/>
            <w:tcBorders>
              <w:top w:val="nil"/>
              <w:left w:val="nil"/>
              <w:bottom w:val="single" w:color="auto" w:sz="4" w:space="0"/>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1956" w:type="dxa"/>
            <w:tcBorders>
              <w:top w:val="nil"/>
              <w:left w:val="nil"/>
              <w:bottom w:val="single" w:color="auto" w:sz="4" w:space="0"/>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3922"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82"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27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19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9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23.54</w:t>
            </w: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5.59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5.59</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23.54</w:t>
            </w:r>
          </w:p>
        </w:tc>
      </w:tr>
      <w:tr>
        <w:tblPrEx>
          <w:tblLayout w:type="fixed"/>
          <w:tblCellMar>
            <w:top w:w="0" w:type="dxa"/>
            <w:left w:w="0" w:type="dxa"/>
            <w:bottom w:w="0" w:type="dxa"/>
            <w:right w:w="0" w:type="dxa"/>
          </w:tblCellMar>
        </w:tblPrEx>
        <w:trPr>
          <w:trHeight w:val="494"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3.49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3.49</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bottom"/>
              <w:rPr>
                <w:rFonts w:hint="eastAsia" w:ascii="Arial" w:hAnsi="Arial" w:cs="Arial"/>
                <w:i w:val="0"/>
                <w:color w:val="000000"/>
                <w:sz w:val="20"/>
                <w:szCs w:val="20"/>
                <w:u w:val="none"/>
                <w:lang w:val="en-US" w:eastAsia="zh-CN"/>
              </w:rPr>
            </w:pPr>
            <w:r>
              <w:rPr>
                <w:rFonts w:hint="eastAsia" w:ascii="Arial" w:hAnsi="Arial" w:cs="Arial"/>
                <w:i w:val="0"/>
                <w:color w:val="000000"/>
                <w:sz w:val="20"/>
                <w:szCs w:val="20"/>
                <w:u w:val="none"/>
                <w:lang w:val="en-US" w:eastAsia="zh-CN"/>
              </w:rPr>
              <w:t xml:space="preserve">                          1</w:t>
            </w: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w:t>
            </w: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3.49</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3.49</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2.1</w:t>
            </w: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2.1</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2.1</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w:t>
            </w: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494"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0</w:t>
            </w:r>
          </w:p>
        </w:tc>
        <w:tc>
          <w:tcPr>
            <w:tcW w:w="392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31</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214</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shd w:val="clear" w:color="auto" w:fill="auto"/>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p>
        </w:tc>
      </w:tr>
      <w:tr>
        <w:tblPrEx>
          <w:tblLayout w:type="fixed"/>
          <w:tblCellMar>
            <w:top w:w="0" w:type="dxa"/>
            <w:left w:w="0" w:type="dxa"/>
            <w:bottom w:w="0" w:type="dxa"/>
            <w:right w:w="0" w:type="dxa"/>
          </w:tblCellMar>
        </w:tblPrEx>
        <w:trPr>
          <w:trHeight w:val="257"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14.4</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264" w:hRule="atLeast"/>
        </w:trPr>
        <w:tc>
          <w:tcPr>
            <w:tcW w:w="307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22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9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1.2</w:t>
            </w:r>
          </w:p>
        </w:tc>
        <w:tc>
          <w:tcPr>
            <w:tcW w:w="39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default"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sectPr>
      <w:headerReference r:id="rId4" w:type="default"/>
      <w:footerReference r:id="rId5" w:type="default"/>
      <w:pgSz w:w="16783" w:h="11850" w:orient="landscape"/>
      <w:pgMar w:top="1440" w:right="1800" w:bottom="1440" w:left="180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abstractNum w:abstractNumId="1">
    <w:nsid w:val="AFEA7571"/>
    <w:multiLevelType w:val="singleLevel"/>
    <w:tmpl w:val="AFEA7571"/>
    <w:lvl w:ilvl="0" w:tentative="0">
      <w:start w:val="5"/>
      <w:numFmt w:val="chineseCounting"/>
      <w:suff w:val="nothing"/>
      <w:lvlText w:val="（%1）"/>
      <w:lvlJc w:val="left"/>
      <w:rPr>
        <w:rFonts w:hint="eastAsia"/>
      </w:rPr>
    </w:lvl>
  </w:abstractNum>
  <w:abstractNum w:abstractNumId="2">
    <w:nsid w:val="CFFC0F31"/>
    <w:multiLevelType w:val="singleLevel"/>
    <w:tmpl w:val="CFFC0F31"/>
    <w:lvl w:ilvl="0" w:tentative="0">
      <w:start w:val="1"/>
      <w:numFmt w:val="chineseCounting"/>
      <w:suff w:val="nothing"/>
      <w:lvlText w:val="%1、"/>
      <w:lvlJc w:val="left"/>
      <w:rPr>
        <w:rFonts w:hint="eastAsia"/>
      </w:rPr>
    </w:lvl>
  </w:abstractNum>
  <w:abstractNum w:abstractNumId="3">
    <w:nsid w:val="13FC6729"/>
    <w:multiLevelType w:val="singleLevel"/>
    <w:tmpl w:val="13FC6729"/>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E5443"/>
    <w:rsid w:val="0032636E"/>
    <w:rsid w:val="00550ABE"/>
    <w:rsid w:val="007B419D"/>
    <w:rsid w:val="009B67B8"/>
    <w:rsid w:val="00B03CCD"/>
    <w:rsid w:val="00E76362"/>
    <w:rsid w:val="00F73F90"/>
    <w:rsid w:val="01474EBF"/>
    <w:rsid w:val="01F3521E"/>
    <w:rsid w:val="02875F5C"/>
    <w:rsid w:val="02D75393"/>
    <w:rsid w:val="03B87EA0"/>
    <w:rsid w:val="03E3214F"/>
    <w:rsid w:val="03F334E6"/>
    <w:rsid w:val="044C50BA"/>
    <w:rsid w:val="054443A4"/>
    <w:rsid w:val="05BC6D49"/>
    <w:rsid w:val="06194FF1"/>
    <w:rsid w:val="06A2550B"/>
    <w:rsid w:val="06F80EE2"/>
    <w:rsid w:val="07001CCA"/>
    <w:rsid w:val="075678DB"/>
    <w:rsid w:val="079D7CC7"/>
    <w:rsid w:val="08051BCA"/>
    <w:rsid w:val="08426997"/>
    <w:rsid w:val="086C12F4"/>
    <w:rsid w:val="08BA052C"/>
    <w:rsid w:val="08DB07BA"/>
    <w:rsid w:val="0969353F"/>
    <w:rsid w:val="098062A4"/>
    <w:rsid w:val="098305D0"/>
    <w:rsid w:val="098A0877"/>
    <w:rsid w:val="0A5C4B69"/>
    <w:rsid w:val="0A86124A"/>
    <w:rsid w:val="0AB54CC0"/>
    <w:rsid w:val="0B9335CE"/>
    <w:rsid w:val="0C7927C4"/>
    <w:rsid w:val="0C9B098C"/>
    <w:rsid w:val="0CF93560"/>
    <w:rsid w:val="0D673E11"/>
    <w:rsid w:val="0DDA1C70"/>
    <w:rsid w:val="0DDA54E4"/>
    <w:rsid w:val="0DE35CB1"/>
    <w:rsid w:val="0E34280C"/>
    <w:rsid w:val="0E3A5F83"/>
    <w:rsid w:val="0E3C63E5"/>
    <w:rsid w:val="0F836721"/>
    <w:rsid w:val="0FA25D96"/>
    <w:rsid w:val="0FDF38F0"/>
    <w:rsid w:val="107B59E5"/>
    <w:rsid w:val="10EC0126"/>
    <w:rsid w:val="10F70B9A"/>
    <w:rsid w:val="111445C7"/>
    <w:rsid w:val="114278C6"/>
    <w:rsid w:val="1158083A"/>
    <w:rsid w:val="11643A4B"/>
    <w:rsid w:val="11ED0F98"/>
    <w:rsid w:val="11F03528"/>
    <w:rsid w:val="12C921C4"/>
    <w:rsid w:val="134E63D3"/>
    <w:rsid w:val="13871C70"/>
    <w:rsid w:val="13A71CB4"/>
    <w:rsid w:val="13AF1D43"/>
    <w:rsid w:val="13CE1647"/>
    <w:rsid w:val="13FD55AB"/>
    <w:rsid w:val="14200702"/>
    <w:rsid w:val="15883AA4"/>
    <w:rsid w:val="162B58CD"/>
    <w:rsid w:val="163A6CEE"/>
    <w:rsid w:val="16DA3B95"/>
    <w:rsid w:val="173708E3"/>
    <w:rsid w:val="17C374FC"/>
    <w:rsid w:val="189079DC"/>
    <w:rsid w:val="189B0D0B"/>
    <w:rsid w:val="18B43F7C"/>
    <w:rsid w:val="18F031CB"/>
    <w:rsid w:val="194A1770"/>
    <w:rsid w:val="19B906A4"/>
    <w:rsid w:val="1B6F15B6"/>
    <w:rsid w:val="1BAA2EDC"/>
    <w:rsid w:val="1C4A2658"/>
    <w:rsid w:val="1C5C0973"/>
    <w:rsid w:val="1C904A9B"/>
    <w:rsid w:val="1CA55E64"/>
    <w:rsid w:val="1D014A01"/>
    <w:rsid w:val="1D022362"/>
    <w:rsid w:val="1D1B04B0"/>
    <w:rsid w:val="1D411865"/>
    <w:rsid w:val="1DBD6767"/>
    <w:rsid w:val="1DC52125"/>
    <w:rsid w:val="1DD26311"/>
    <w:rsid w:val="1DE61FDA"/>
    <w:rsid w:val="1E374ACB"/>
    <w:rsid w:val="1E844BB2"/>
    <w:rsid w:val="1ECF0A66"/>
    <w:rsid w:val="1EF67CA4"/>
    <w:rsid w:val="1F020D3A"/>
    <w:rsid w:val="1F2C5189"/>
    <w:rsid w:val="1F4B0B02"/>
    <w:rsid w:val="1FBB35CD"/>
    <w:rsid w:val="1FCD26AF"/>
    <w:rsid w:val="20642787"/>
    <w:rsid w:val="20BF60CD"/>
    <w:rsid w:val="21556F04"/>
    <w:rsid w:val="22403BD3"/>
    <w:rsid w:val="231B63C8"/>
    <w:rsid w:val="241C54CF"/>
    <w:rsid w:val="24B92327"/>
    <w:rsid w:val="24C14514"/>
    <w:rsid w:val="2533755C"/>
    <w:rsid w:val="25791755"/>
    <w:rsid w:val="25F742BF"/>
    <w:rsid w:val="26396DF4"/>
    <w:rsid w:val="269B1015"/>
    <w:rsid w:val="27167136"/>
    <w:rsid w:val="271930DD"/>
    <w:rsid w:val="27B23302"/>
    <w:rsid w:val="28904DEA"/>
    <w:rsid w:val="28FA74E0"/>
    <w:rsid w:val="29310A5F"/>
    <w:rsid w:val="29C37A35"/>
    <w:rsid w:val="2A076083"/>
    <w:rsid w:val="2A73162E"/>
    <w:rsid w:val="2B167953"/>
    <w:rsid w:val="2B200583"/>
    <w:rsid w:val="2B8209DE"/>
    <w:rsid w:val="2C6762A3"/>
    <w:rsid w:val="2CFF7515"/>
    <w:rsid w:val="2EBF7B3E"/>
    <w:rsid w:val="2FCA4B37"/>
    <w:rsid w:val="2FE029D7"/>
    <w:rsid w:val="2FF06E00"/>
    <w:rsid w:val="30562E26"/>
    <w:rsid w:val="30586FEC"/>
    <w:rsid w:val="307E2E3B"/>
    <w:rsid w:val="315F0B22"/>
    <w:rsid w:val="319D022C"/>
    <w:rsid w:val="31C90022"/>
    <w:rsid w:val="31D84415"/>
    <w:rsid w:val="32285F6F"/>
    <w:rsid w:val="32770556"/>
    <w:rsid w:val="329C0913"/>
    <w:rsid w:val="32AA0460"/>
    <w:rsid w:val="3337290D"/>
    <w:rsid w:val="33D43384"/>
    <w:rsid w:val="33E31118"/>
    <w:rsid w:val="33EF7674"/>
    <w:rsid w:val="342D7BC6"/>
    <w:rsid w:val="34F44B59"/>
    <w:rsid w:val="352930DB"/>
    <w:rsid w:val="35491115"/>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47050C"/>
    <w:rsid w:val="3B1705E5"/>
    <w:rsid w:val="3B18334B"/>
    <w:rsid w:val="3B36794F"/>
    <w:rsid w:val="3C566AD6"/>
    <w:rsid w:val="3C6A5B02"/>
    <w:rsid w:val="3C906E85"/>
    <w:rsid w:val="3CAF3A73"/>
    <w:rsid w:val="3D121FC9"/>
    <w:rsid w:val="3D2757A1"/>
    <w:rsid w:val="3D3D4FC4"/>
    <w:rsid w:val="3DDF3AB1"/>
    <w:rsid w:val="3E1D0952"/>
    <w:rsid w:val="3E1E54E4"/>
    <w:rsid w:val="3E42660A"/>
    <w:rsid w:val="3E7555B1"/>
    <w:rsid w:val="3E787ED9"/>
    <w:rsid w:val="3EEC37F3"/>
    <w:rsid w:val="3F032E93"/>
    <w:rsid w:val="3F0527E5"/>
    <w:rsid w:val="3F694D83"/>
    <w:rsid w:val="3F885DCC"/>
    <w:rsid w:val="3FCD675E"/>
    <w:rsid w:val="4004000C"/>
    <w:rsid w:val="40EA6932"/>
    <w:rsid w:val="411B6CE5"/>
    <w:rsid w:val="412070D7"/>
    <w:rsid w:val="41314E40"/>
    <w:rsid w:val="41E0734B"/>
    <w:rsid w:val="426554D0"/>
    <w:rsid w:val="426C1EA8"/>
    <w:rsid w:val="42736402"/>
    <w:rsid w:val="42E86A87"/>
    <w:rsid w:val="43307B09"/>
    <w:rsid w:val="43BB152F"/>
    <w:rsid w:val="44AE0863"/>
    <w:rsid w:val="44C37687"/>
    <w:rsid w:val="451B10E6"/>
    <w:rsid w:val="45CB699A"/>
    <w:rsid w:val="46287B1B"/>
    <w:rsid w:val="465B470D"/>
    <w:rsid w:val="469D6AD4"/>
    <w:rsid w:val="471E6C84"/>
    <w:rsid w:val="4748792B"/>
    <w:rsid w:val="475D719D"/>
    <w:rsid w:val="47674801"/>
    <w:rsid w:val="48205ED4"/>
    <w:rsid w:val="48225EF7"/>
    <w:rsid w:val="484D198B"/>
    <w:rsid w:val="488C742F"/>
    <w:rsid w:val="488F422B"/>
    <w:rsid w:val="48AC7874"/>
    <w:rsid w:val="48E36915"/>
    <w:rsid w:val="495C4A24"/>
    <w:rsid w:val="497135DF"/>
    <w:rsid w:val="4A263DF2"/>
    <w:rsid w:val="4A60256F"/>
    <w:rsid w:val="4A6F6675"/>
    <w:rsid w:val="4A833FBF"/>
    <w:rsid w:val="4B135857"/>
    <w:rsid w:val="4B3F79C8"/>
    <w:rsid w:val="4B7951CB"/>
    <w:rsid w:val="4B7C315C"/>
    <w:rsid w:val="4BD26DE9"/>
    <w:rsid w:val="4DAC4ACA"/>
    <w:rsid w:val="4DBE01D2"/>
    <w:rsid w:val="4E3D7EBA"/>
    <w:rsid w:val="4F0C6BA3"/>
    <w:rsid w:val="4F186D58"/>
    <w:rsid w:val="4F903D04"/>
    <w:rsid w:val="4FEA65B7"/>
    <w:rsid w:val="50F06B6E"/>
    <w:rsid w:val="51414915"/>
    <w:rsid w:val="51F2506E"/>
    <w:rsid w:val="52234D33"/>
    <w:rsid w:val="522F6E0C"/>
    <w:rsid w:val="52463BA1"/>
    <w:rsid w:val="52F163D4"/>
    <w:rsid w:val="531A2DB4"/>
    <w:rsid w:val="53C0244D"/>
    <w:rsid w:val="53DD4D4E"/>
    <w:rsid w:val="53E578CE"/>
    <w:rsid w:val="541330F0"/>
    <w:rsid w:val="54272666"/>
    <w:rsid w:val="543B029D"/>
    <w:rsid w:val="54861779"/>
    <w:rsid w:val="54DA1179"/>
    <w:rsid w:val="552256E1"/>
    <w:rsid w:val="554E5773"/>
    <w:rsid w:val="555A3CBC"/>
    <w:rsid w:val="5582012B"/>
    <w:rsid w:val="558E4E05"/>
    <w:rsid w:val="55BE2E85"/>
    <w:rsid w:val="55F71D36"/>
    <w:rsid w:val="56530F5D"/>
    <w:rsid w:val="567700D3"/>
    <w:rsid w:val="56FF7E9E"/>
    <w:rsid w:val="578867FC"/>
    <w:rsid w:val="5842572D"/>
    <w:rsid w:val="5A3B59D6"/>
    <w:rsid w:val="5AD134D8"/>
    <w:rsid w:val="5C263CE4"/>
    <w:rsid w:val="5C5D2777"/>
    <w:rsid w:val="5CF66BF3"/>
    <w:rsid w:val="5D290C69"/>
    <w:rsid w:val="5F2D4A41"/>
    <w:rsid w:val="5F676203"/>
    <w:rsid w:val="60C74F6C"/>
    <w:rsid w:val="60D356B8"/>
    <w:rsid w:val="61025A59"/>
    <w:rsid w:val="613D5BBC"/>
    <w:rsid w:val="61536C39"/>
    <w:rsid w:val="62944DD7"/>
    <w:rsid w:val="6319381F"/>
    <w:rsid w:val="63C25DC5"/>
    <w:rsid w:val="63C62057"/>
    <w:rsid w:val="642B68DC"/>
    <w:rsid w:val="64571EF5"/>
    <w:rsid w:val="64F01A98"/>
    <w:rsid w:val="64FB113D"/>
    <w:rsid w:val="656152C6"/>
    <w:rsid w:val="6587477F"/>
    <w:rsid w:val="658C3A08"/>
    <w:rsid w:val="65C031CA"/>
    <w:rsid w:val="65CE6852"/>
    <w:rsid w:val="65D417D6"/>
    <w:rsid w:val="66267C04"/>
    <w:rsid w:val="663F505A"/>
    <w:rsid w:val="6672036A"/>
    <w:rsid w:val="66967186"/>
    <w:rsid w:val="66DF789E"/>
    <w:rsid w:val="66EE5541"/>
    <w:rsid w:val="67924660"/>
    <w:rsid w:val="680A0D5A"/>
    <w:rsid w:val="68154EE9"/>
    <w:rsid w:val="68407834"/>
    <w:rsid w:val="6883293E"/>
    <w:rsid w:val="688412AD"/>
    <w:rsid w:val="68EB1B71"/>
    <w:rsid w:val="69475C96"/>
    <w:rsid w:val="69902785"/>
    <w:rsid w:val="6AAD2300"/>
    <w:rsid w:val="6B4660FA"/>
    <w:rsid w:val="6B474EF5"/>
    <w:rsid w:val="6BBF53FD"/>
    <w:rsid w:val="6C560CAE"/>
    <w:rsid w:val="6C576495"/>
    <w:rsid w:val="6D903FF5"/>
    <w:rsid w:val="6DA955B8"/>
    <w:rsid w:val="6DE346AB"/>
    <w:rsid w:val="6DE5391A"/>
    <w:rsid w:val="6EFD1324"/>
    <w:rsid w:val="6F5A53AC"/>
    <w:rsid w:val="6FAC003D"/>
    <w:rsid w:val="6FE55E12"/>
    <w:rsid w:val="6FFB2E76"/>
    <w:rsid w:val="6FFF05D6"/>
    <w:rsid w:val="700F7124"/>
    <w:rsid w:val="708F6F7F"/>
    <w:rsid w:val="70AA6961"/>
    <w:rsid w:val="70D94BD3"/>
    <w:rsid w:val="71A12F1D"/>
    <w:rsid w:val="71C34D91"/>
    <w:rsid w:val="72DB435C"/>
    <w:rsid w:val="72E2613A"/>
    <w:rsid w:val="72F771F4"/>
    <w:rsid w:val="736650B0"/>
    <w:rsid w:val="73934AD2"/>
    <w:rsid w:val="74254ADB"/>
    <w:rsid w:val="750837F0"/>
    <w:rsid w:val="754758CF"/>
    <w:rsid w:val="763C518C"/>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694AF8"/>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6">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10</TotalTime>
  <ScaleCrop>false</ScaleCrop>
  <LinksUpToDate>false</LinksUpToDate>
  <CharactersWithSpaces>24644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2024-10-12T20:51:47Z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