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kern w:val="2"/>
          <w:sz w:val="44"/>
          <w:szCs w:val="44"/>
          <w:lang w:val="en-US" w:eastAsia="zh-CN" w:bidi="ar-SA"/>
        </w:rPr>
      </w:pPr>
      <w:r>
        <w:rPr>
          <w:rFonts w:hint="default" w:ascii="方正小标宋_GBK" w:hAnsi="方正小标宋_GBK" w:eastAsia="方正小标宋_GBK" w:cs="方正小标宋_GBK"/>
          <w:b w:val="0"/>
          <w:bCs/>
          <w:kern w:val="2"/>
          <w:sz w:val="44"/>
          <w:szCs w:val="44"/>
          <w:lang w:val="en-US" w:eastAsia="zh-CN" w:bidi="ar-SA"/>
        </w:rPr>
        <w:t>重庆市秀山土家族苗族自治县</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kern w:val="2"/>
          <w:sz w:val="44"/>
          <w:szCs w:val="44"/>
          <w:lang w:val="en-US" w:eastAsia="zh-CN" w:bidi="ar-SA"/>
        </w:rPr>
      </w:pPr>
      <w:r>
        <w:rPr>
          <w:rFonts w:hint="default" w:ascii="方正小标宋_GBK" w:hAnsi="方正小标宋_GBK" w:eastAsia="方正小标宋_GBK" w:cs="方正小标宋_GBK"/>
          <w:b w:val="0"/>
          <w:bCs/>
          <w:kern w:val="2"/>
          <w:sz w:val="44"/>
          <w:szCs w:val="44"/>
          <w:lang w:val="en-US" w:eastAsia="zh-CN" w:bidi="ar-SA"/>
        </w:rPr>
        <w:t>龙凤坝镇劳动就业和社会保障服务所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kern w:val="2"/>
          <w:sz w:val="44"/>
          <w:szCs w:val="44"/>
          <w:lang w:val="en-US" w:eastAsia="zh-CN" w:bidi="ar-SA"/>
        </w:rPr>
      </w:pPr>
      <w:r>
        <w:rPr>
          <w:rFonts w:hint="default" w:ascii="方正小标宋_GBK" w:hAnsi="方正小标宋_GBK" w:eastAsia="方正小标宋_GBK" w:cs="方正小标宋_GBK"/>
          <w:b w:val="0"/>
          <w:bCs/>
          <w:kern w:val="2"/>
          <w:sz w:val="44"/>
          <w:szCs w:val="44"/>
          <w:lang w:val="en-US" w:eastAsia="zh-CN" w:bidi="ar-SA"/>
        </w:rPr>
        <w:t>2023年度决算公开说明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8" w:firstLineChars="200"/>
        <w:jc w:val="both"/>
        <w:textAlignment w:val="auto"/>
        <w:outlineLvl w:val="9"/>
        <w:rPr>
          <w:rFonts w:hint="default" w:ascii="Times New Roman" w:hAnsi="Times New Roman" w:eastAsia="方正黑体_GBK" w:cs="Times New Roman"/>
          <w:w w:val="95"/>
          <w:kern w:val="2"/>
          <w:sz w:val="32"/>
          <w:szCs w:val="32"/>
          <w:lang w:val="en-US" w:eastAsia="zh-CN"/>
        </w:rPr>
      </w:pPr>
      <w:r>
        <w:rPr>
          <w:rFonts w:hint="default" w:ascii="Times New Roman" w:hAnsi="Times New Roman" w:eastAsia="方正黑体_GBK" w:cs="Times New Roman"/>
          <w:w w:val="95"/>
          <w:kern w:val="2"/>
          <w:sz w:val="32"/>
          <w:szCs w:val="32"/>
          <w:lang w:val="en-US" w:eastAsia="zh-CN"/>
        </w:rPr>
        <w:t>一、单位基本情况</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（一）职能职责</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bookmarkStart w:id="0" w:name="_GoBack"/>
      <w:bookmarkEnd w:id="0"/>
      <w:r>
        <w:rPr>
          <w:rFonts w:hint="default" w:ascii="Times New Roman" w:hAnsi="Times New Roman" w:eastAsia="方正仿宋_GBK" w:cs="Times New Roman"/>
          <w:kern w:val="2"/>
          <w:sz w:val="32"/>
          <w:szCs w:val="22"/>
          <w:vertAlign w:val="baseline"/>
          <w:lang w:val="en-US" w:eastAsia="zh-CN" w:bidi="ar-SA"/>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（二）机构设置</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b/>
          <w:bCs/>
          <w:kern w:val="2"/>
          <w:sz w:val="32"/>
          <w:szCs w:val="22"/>
          <w:vertAlign w:val="baseline"/>
          <w:lang w:val="en-US" w:eastAsia="zh-CN" w:bidi="ar-SA"/>
        </w:rPr>
        <w:t>劳动就业和社会保障服务所。</w:t>
      </w:r>
      <w:r>
        <w:rPr>
          <w:rFonts w:hint="default" w:ascii="Times New Roman" w:hAnsi="Times New Roman" w:eastAsia="方正仿宋_GBK" w:cs="Times New Roman"/>
          <w:kern w:val="2"/>
          <w:sz w:val="32"/>
          <w:szCs w:val="22"/>
          <w:vertAlign w:val="baseline"/>
          <w:lang w:val="en-US" w:eastAsia="zh-CN" w:bidi="ar-SA"/>
        </w:rPr>
        <w:t>承担就业、再就业、农村富余劳动力转移，劳动和社会保障、城镇居民最低生活保障、社保救济、医疗保障服务等社会保障相关具体工作。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8" w:firstLineChars="200"/>
        <w:jc w:val="both"/>
        <w:textAlignment w:val="auto"/>
        <w:outlineLvl w:val="9"/>
        <w:rPr>
          <w:rFonts w:hint="default" w:ascii="Times New Roman" w:hAnsi="Times New Roman" w:eastAsia="方正黑体_GBK" w:cs="Times New Roman"/>
          <w:w w:val="95"/>
          <w:kern w:val="2"/>
          <w:sz w:val="32"/>
          <w:szCs w:val="32"/>
          <w:lang w:val="en-US" w:eastAsia="zh-CN"/>
        </w:rPr>
      </w:pPr>
      <w:r>
        <w:rPr>
          <w:rFonts w:hint="default" w:ascii="Times New Roman" w:hAnsi="Times New Roman" w:eastAsia="方正黑体_GBK" w:cs="Times New Roman"/>
          <w:w w:val="95"/>
          <w:kern w:val="2"/>
          <w:sz w:val="32"/>
          <w:szCs w:val="32"/>
          <w:lang w:val="en-US" w:eastAsia="zh-CN"/>
        </w:rPr>
        <w:t>二、单位决算情况说明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（一）收入支出决算总体情况说明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b/>
          <w:bCs/>
          <w:kern w:val="2"/>
          <w:sz w:val="32"/>
          <w:szCs w:val="22"/>
          <w:vertAlign w:val="baseline"/>
          <w:lang w:val="en-US" w:eastAsia="zh-CN" w:bidi="ar-SA"/>
        </w:rPr>
        <w:t>1.总体情况。</w:t>
      </w:r>
      <w:r>
        <w:rPr>
          <w:rFonts w:hint="default" w:ascii="Times New Roman" w:hAnsi="Times New Roman" w:eastAsia="方正仿宋_GBK" w:cs="Times New Roman"/>
          <w:kern w:val="2"/>
          <w:sz w:val="32"/>
          <w:szCs w:val="22"/>
          <w:vertAlign w:val="baseline"/>
          <w:lang w:val="en-US" w:eastAsia="zh-CN" w:bidi="ar-SA"/>
        </w:rPr>
        <w:t>2023年度收入总计52.78万元，支出总计52.78万元。收支较上年决算数增加52.78万元，增长100.00%，主要原因是2022年度本单位与部门合并编报决算，按照市财政局要求，2023年度独立编报决算，故与上年对比增长100%。</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b/>
          <w:bCs/>
          <w:kern w:val="2"/>
          <w:sz w:val="32"/>
          <w:szCs w:val="22"/>
          <w:vertAlign w:val="baseline"/>
          <w:lang w:val="en-US" w:eastAsia="zh-CN" w:bidi="ar-SA"/>
        </w:rPr>
        <w:t>2.收入情况。</w:t>
      </w:r>
      <w:r>
        <w:rPr>
          <w:rFonts w:hint="default" w:ascii="Times New Roman" w:hAnsi="Times New Roman" w:eastAsia="方正仿宋_GBK" w:cs="Times New Roman"/>
          <w:kern w:val="2"/>
          <w:sz w:val="32"/>
          <w:szCs w:val="22"/>
          <w:vertAlign w:val="baseline"/>
          <w:lang w:val="en-US" w:eastAsia="zh-CN" w:bidi="ar-SA"/>
        </w:rPr>
        <w:t>2023年度收入合计52.78万元，较上年决算数增加52.78万元，增长100.00%，主要原因是2022年度本单位与部门合并编报决算，按照市财政局要求，2023年度独立编报决算，故与上年对比增长100%。其中：财政拨款收入52.78万元，占100.00%；事业收入0.00万元，占0.00%；经营收入0.00万元，占0.00%；其他收入0.00万元，占0.00%。此外，使用非财政拨款结余和专用结余0.00万元，年初结转和结余0.00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b/>
          <w:bCs/>
          <w:kern w:val="2"/>
          <w:sz w:val="32"/>
          <w:szCs w:val="22"/>
          <w:vertAlign w:val="baseline"/>
          <w:lang w:val="en-US" w:eastAsia="zh-CN" w:bidi="ar-SA"/>
        </w:rPr>
        <w:t>3.支出情况。</w:t>
      </w:r>
      <w:r>
        <w:rPr>
          <w:rFonts w:hint="default" w:ascii="Times New Roman" w:hAnsi="Times New Roman" w:eastAsia="方正仿宋_GBK" w:cs="Times New Roman"/>
          <w:kern w:val="2"/>
          <w:sz w:val="32"/>
          <w:szCs w:val="22"/>
          <w:vertAlign w:val="baseline"/>
          <w:lang w:val="en-US" w:eastAsia="zh-CN" w:bidi="ar-SA"/>
        </w:rPr>
        <w:t>2023年度支出合计52.78万元，较上年决算数增加52.78万元，增长100.00%，主要原因是2022年度本单位与部门合并编报决算，按照市财政局要求，2023年度独立编报决算，故与上年对比增长100%。其中：基本支出36.17万元，占68.52%；项目支出16.62万元，占31.48%；经营支出0.00万元，占0.00%。此外，结余分配0.00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b/>
          <w:bCs/>
          <w:kern w:val="2"/>
          <w:sz w:val="32"/>
          <w:szCs w:val="22"/>
          <w:vertAlign w:val="baseline"/>
          <w:lang w:val="en-US" w:eastAsia="zh-CN" w:bidi="ar-SA"/>
        </w:rPr>
        <w:t>4.结转结余情况。</w:t>
      </w:r>
      <w:r>
        <w:rPr>
          <w:rFonts w:hint="default" w:ascii="Times New Roman" w:hAnsi="Times New Roman" w:eastAsia="方正仿宋_GBK" w:cs="Times New Roman"/>
          <w:kern w:val="2"/>
          <w:sz w:val="32"/>
          <w:szCs w:val="22"/>
          <w:vertAlign w:val="baseline"/>
          <w:lang w:val="en-US" w:eastAsia="zh-CN" w:bidi="ar-SA"/>
        </w:rPr>
        <w:t>2023年度年末结转和结余0.00万元，较上年决算数无增减，主要原因是上年度实行预算一体化后执行了预算指标零结转的政策，故较上年决算数无增减。</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（二）财政拨款收入支出决算总体情况说明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2023年度财政拨款收、支总计52.78万元。与2022年相比，财政拨款收、支总计各增加52.78万元，增长100.00%。主要原因是2022年度本单位与部门合并编报决算，按照市财政局要求，2023年度独立编报决算，故与上年对比增长100%。</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（三）一般公共预算财政拨款收入支出决算情况说明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b/>
          <w:bCs w:val="0"/>
          <w:kern w:val="2"/>
          <w:sz w:val="32"/>
          <w:szCs w:val="22"/>
          <w:vertAlign w:val="baseline"/>
          <w:lang w:val="en-US" w:eastAsia="zh-CN" w:bidi="ar-SA"/>
        </w:rPr>
        <w:t>1.收入情况。</w:t>
      </w:r>
      <w:r>
        <w:rPr>
          <w:rFonts w:hint="default" w:ascii="Times New Roman" w:hAnsi="Times New Roman" w:eastAsia="方正仿宋_GBK" w:cs="Times New Roman"/>
          <w:kern w:val="2"/>
          <w:sz w:val="32"/>
          <w:szCs w:val="22"/>
          <w:vertAlign w:val="baseline"/>
          <w:lang w:val="en-US" w:eastAsia="zh-CN" w:bidi="ar-SA"/>
        </w:rPr>
        <w:t>2023年度一般公共预算财政拨款收入52.78万元，较上年决算数增加52.78万元，增长100.00%。主要原因是2022年度本单位与部门合并编报决算，按照市财政局要求，2023年度独立编报决算，故与上年对比增长100%。较年初预算数增加16.52万元，增长45.56%。主要原因是人员政策性增资、优抚对象补贴增加等。此外，年初财政拨款结转和结余0.00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b/>
          <w:bCs w:val="0"/>
          <w:kern w:val="2"/>
          <w:sz w:val="32"/>
          <w:szCs w:val="22"/>
          <w:vertAlign w:val="baseline"/>
          <w:lang w:val="en-US" w:eastAsia="zh-CN" w:bidi="ar-SA"/>
        </w:rPr>
        <w:t>2.支出情况。</w:t>
      </w:r>
      <w:r>
        <w:rPr>
          <w:rFonts w:hint="default" w:ascii="Times New Roman" w:hAnsi="Times New Roman" w:eastAsia="方正仿宋_GBK" w:cs="Times New Roman"/>
          <w:kern w:val="2"/>
          <w:sz w:val="32"/>
          <w:szCs w:val="22"/>
          <w:vertAlign w:val="baseline"/>
          <w:lang w:val="en-US" w:eastAsia="zh-CN" w:bidi="ar-SA"/>
        </w:rPr>
        <w:t>2023年度一般公共预算财政拨款支出52.78万元，较上年决算数增加52.78万元，增长100.00%。主要原因是2022年度本单位与部门合并编报决算，按照市财政局要求，2023年度独立编报决算，故与上年对比增长100%。较年初预算数减少11.51万元，下降17.90%。主要原因是参考线内超额绩效（年终考核）、职业年金等清算核减，导致下降9.90%。</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b/>
          <w:bCs w:val="0"/>
          <w:kern w:val="2"/>
          <w:sz w:val="32"/>
          <w:szCs w:val="22"/>
          <w:vertAlign w:val="baseline"/>
          <w:lang w:val="en-US" w:eastAsia="zh-CN" w:bidi="ar-SA"/>
        </w:rPr>
        <w:t>3.结转结余情况。</w:t>
      </w:r>
      <w:r>
        <w:rPr>
          <w:rFonts w:hint="default" w:ascii="Times New Roman" w:hAnsi="Times New Roman" w:eastAsia="方正仿宋_GBK" w:cs="Times New Roman"/>
          <w:kern w:val="2"/>
          <w:sz w:val="32"/>
          <w:szCs w:val="22"/>
          <w:vertAlign w:val="baseline"/>
          <w:lang w:val="en-US" w:eastAsia="zh-CN" w:bidi="ar-SA"/>
        </w:rPr>
        <w:t>2023年度年末一般公共预算财政拨款结转和结余0.00万元，较上年决算数无增减，主要原因是上年度实行预算一体化后执行了预算指标零结转的政策，故较上年决算数无增减。</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b/>
          <w:bCs w:val="0"/>
          <w:kern w:val="2"/>
          <w:sz w:val="32"/>
          <w:szCs w:val="22"/>
          <w:vertAlign w:val="baseline"/>
          <w:lang w:val="en-US" w:eastAsia="zh-CN" w:bidi="ar-SA"/>
        </w:rPr>
        <w:t>4.比较情况。</w:t>
      </w:r>
      <w:r>
        <w:rPr>
          <w:rFonts w:hint="default" w:ascii="Times New Roman" w:hAnsi="Times New Roman" w:eastAsia="方正仿宋_GBK" w:cs="Times New Roman"/>
          <w:kern w:val="2"/>
          <w:sz w:val="32"/>
          <w:szCs w:val="22"/>
          <w:vertAlign w:val="baseline"/>
          <w:lang w:val="en-US" w:eastAsia="zh-CN" w:bidi="ar-SA"/>
        </w:rPr>
        <w:t>本单位2023年度一般公共预算财政拨款支出主要用于以下几个方面：</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（1）社会保障与就业支出43.45万元，占82.32%，较年初预算数减少16.75万元，下降27.82%，主要原因是参考线内超额绩效（年终考核）、养老保险、职业年金等清算核减。</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（2）卫生健康支出6.59万元，占12.49%，较年初预算数增加5.24万元，增长388.15%，主要原因是人员政策性增资。</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（3）住房保障支出2.74万元，占5.20%，较年初预算数无增减，主要原因是我单位严格按照年初预算执行。</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（四）一般公共预算财政拨款基本支出决算情况说明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2023年度一般公共财政拨款基本支出36.17万元。其中：人员经费33.19万元，较上年决算数增加33.19万元，增长100.00%，主要原因是2022年度本单位与部门合并编报决算，按照市财政局要求，2023年度独立编报决算，故与上年对比增长100%。人员经费用途主要包括基本工资、津贴补贴、社会保障缴费等。公用经费2.97万元，较上年决算数增加2.97万元，增长100.00%，主要原因是2022年度本单位与部门合并编报决算，按照市财政局要求，2023年度独立编报决算，故与上年对比增长100%。公用经费用途主要包括办公费、印刷费、差旅费、电费、水费等。</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本单位2023年度无政府性基金预算财政拨款收支。</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（六）国有资本经营预算财政拨款支出决算情况说明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本单位2023年度无国有资本经营预算财政拨款支出。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8" w:firstLineChars="200"/>
        <w:jc w:val="both"/>
        <w:textAlignment w:val="auto"/>
        <w:outlineLvl w:val="9"/>
        <w:rPr>
          <w:rFonts w:hint="default" w:ascii="Times New Roman" w:hAnsi="Times New Roman" w:eastAsia="方正黑体_GBK" w:cs="Times New Roman"/>
          <w:w w:val="95"/>
          <w:kern w:val="2"/>
          <w:sz w:val="32"/>
          <w:szCs w:val="32"/>
          <w:lang w:val="en-US" w:eastAsia="zh-CN"/>
        </w:rPr>
      </w:pPr>
      <w:r>
        <w:rPr>
          <w:rFonts w:hint="default" w:ascii="Times New Roman" w:hAnsi="Times New Roman" w:eastAsia="方正黑体_GBK" w:cs="Times New Roman"/>
          <w:w w:val="95"/>
          <w:kern w:val="2"/>
          <w:sz w:val="32"/>
          <w:szCs w:val="32"/>
          <w:lang w:val="en-US" w:eastAsia="zh-CN"/>
        </w:rPr>
        <w:t>三、“三公”经费情况说明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（一）“三公”经费支出总体情况说明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我单位属于二级预算单位，“三公”经费由本级统一支出。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2023年度</w:t>
      </w:r>
      <w:r>
        <w:rPr>
          <w:rFonts w:hint="eastAsia" w:ascii="Times New Roman" w:hAnsi="Times New Roman" w:eastAsia="方正仿宋_GBK" w:cs="Times New Roman"/>
          <w:b w:val="0"/>
          <w:bCs w:val="0"/>
          <w:sz w:val="32"/>
          <w:szCs w:val="32"/>
          <w:lang w:eastAsia="zh-CN"/>
        </w:rPr>
        <w:t>本单位</w:t>
      </w:r>
      <w:r>
        <w:rPr>
          <w:rFonts w:hint="default" w:ascii="Times New Roman" w:hAnsi="Times New Roman" w:eastAsia="方正仿宋_GBK" w:cs="Times New Roman"/>
          <w:b w:val="0"/>
          <w:bCs w:val="0"/>
          <w:sz w:val="32"/>
          <w:szCs w:val="32"/>
        </w:rPr>
        <w:t>因公出国（境）费用</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 </w:t>
      </w:r>
      <w:r>
        <w:rPr>
          <w:rFonts w:hint="eastAsia" w:ascii="Times New Roman" w:hAnsi="Times New Roman" w:eastAsia="方正仿宋_GBK" w:cs="Times New Roman"/>
          <w:b w:val="0"/>
          <w:bCs w:val="0"/>
          <w:sz w:val="32"/>
          <w:szCs w:val="32"/>
          <w:lang w:eastAsia="zh-CN"/>
        </w:rPr>
        <w:t>费用支出较年初预算数、上年支出数无增减。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公务车购置费</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w:t>
      </w:r>
      <w:r>
        <w:rPr>
          <w:rFonts w:hint="eastAsia" w:ascii="Times New Roman" w:hAnsi="Times New Roman" w:eastAsia="方正仿宋_GBK" w:cs="Times New Roman"/>
          <w:b w:val="0"/>
          <w:bCs w:val="0"/>
          <w:sz w:val="32"/>
          <w:szCs w:val="32"/>
          <w:lang w:eastAsia="zh-CN"/>
        </w:rPr>
        <w:t>，费用支出较年初预算数、上年支出数无增减。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公务车运行维护费</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w:t>
      </w:r>
      <w:r>
        <w:rPr>
          <w:rFonts w:hint="eastAsia" w:ascii="Times New Roman" w:hAnsi="Times New Roman" w:eastAsia="方正仿宋_GBK" w:cs="Times New Roman"/>
          <w:b w:val="0"/>
          <w:bCs w:val="0"/>
          <w:sz w:val="32"/>
          <w:szCs w:val="32"/>
          <w:lang w:eastAsia="zh-CN"/>
        </w:rPr>
        <w:t>费用支出较年初预算数、上年支出数无增减。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公务接待费</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w:t>
      </w:r>
      <w:r>
        <w:rPr>
          <w:rFonts w:hint="eastAsia" w:ascii="Times New Roman" w:hAnsi="Times New Roman" w:eastAsia="方正仿宋_GBK" w:cs="Times New Roman"/>
          <w:b w:val="0"/>
          <w:bCs w:val="0"/>
          <w:sz w:val="32"/>
          <w:szCs w:val="32"/>
          <w:lang w:eastAsia="zh-CN"/>
        </w:rPr>
        <w:t>费用支出较年初预算数、上年支出数无增减。</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（三）“三公”经费实物量情况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2023年度本单位因公出国（境）共计0个团组，0人；公务用车购置0辆，公务车保有量为0辆；国内公务接待0批次0人，其中：国内外事接待0批次，0人；国（境）外公务接待0批次，0人。2023年本单位人均接待费0元，车均购置费0万元，车均维护费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8" w:firstLineChars="200"/>
        <w:jc w:val="both"/>
        <w:textAlignment w:val="auto"/>
        <w:outlineLvl w:val="9"/>
        <w:rPr>
          <w:rFonts w:hint="default" w:ascii="Times New Roman" w:hAnsi="Times New Roman" w:eastAsia="方正黑体_GBK" w:cs="Times New Roman"/>
          <w:w w:val="95"/>
          <w:kern w:val="2"/>
          <w:sz w:val="32"/>
          <w:szCs w:val="32"/>
          <w:lang w:val="en-US" w:eastAsia="zh-CN"/>
        </w:rPr>
      </w:pPr>
      <w:r>
        <w:rPr>
          <w:rFonts w:hint="default" w:ascii="Times New Roman" w:hAnsi="Times New Roman" w:eastAsia="方正黑体_GBK" w:cs="Times New Roman"/>
          <w:w w:val="95"/>
          <w:kern w:val="2"/>
          <w:sz w:val="32"/>
          <w:szCs w:val="32"/>
          <w:lang w:val="en-US" w:eastAsia="zh-CN"/>
        </w:rPr>
        <w:t>四、其他需要说明的事项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（一）财政拨款会议费和培训费情况说明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本年度会议费支出0.00万元，较上年决算数无增减，主要原因是我单位严格控制会议费等相关开支。本年度培训费支出0.00万元，较上年决算数无变化，主要原因是我单位严格控制会议费等相关开支。</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（二）机关运行经费情况说明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2023年度本单位机关运行经费支出0.00万元，机关运行经费主要用于开支机关所产生的水费、电费、生活费等。机关运行经费较上年支出数无增减，主要原因是按照部门决算列报口径，我单位不在机关运行经费统计范围之内。</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（三）国有资产占用情况说明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截至2023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（四）政府采购支出情况说明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2023年度我单位未发生政府采购事项，无相关经费支出。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8" w:firstLineChars="200"/>
        <w:jc w:val="both"/>
        <w:textAlignment w:val="auto"/>
        <w:outlineLvl w:val="9"/>
        <w:rPr>
          <w:rFonts w:hint="default" w:ascii="Times New Roman" w:hAnsi="Times New Roman" w:eastAsia="方正黑体_GBK" w:cs="Times New Roman"/>
          <w:w w:val="95"/>
          <w:kern w:val="2"/>
          <w:sz w:val="32"/>
          <w:szCs w:val="32"/>
          <w:lang w:val="en-US" w:eastAsia="zh-CN"/>
        </w:rPr>
      </w:pPr>
      <w:r>
        <w:rPr>
          <w:rFonts w:hint="eastAsia" w:ascii="Times New Roman" w:hAnsi="Times New Roman" w:eastAsia="方正黑体_GBK" w:cs="Times New Roman"/>
          <w:w w:val="95"/>
          <w:kern w:val="2"/>
          <w:sz w:val="32"/>
          <w:szCs w:val="32"/>
          <w:lang w:val="en-US" w:eastAsia="zh-CN"/>
        </w:rPr>
        <w:t>五、</w:t>
      </w:r>
      <w:r>
        <w:rPr>
          <w:rFonts w:hint="default" w:ascii="Times New Roman" w:hAnsi="Times New Roman" w:eastAsia="方正黑体_GBK" w:cs="Times New Roman"/>
          <w:w w:val="95"/>
          <w:kern w:val="2"/>
          <w:sz w:val="32"/>
          <w:szCs w:val="32"/>
          <w:lang w:val="en-US" w:eastAsia="zh-CN"/>
        </w:rPr>
        <w:t>预算绩效管理情况说明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（一）单位自评情况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根据预算绩效管理要求，我单位对部门整体和0个一级项目、7个二级项目开展了绩效自评，涉及财政拨款项目支出资金</w:t>
      </w:r>
      <w:r>
        <w:rPr>
          <w:rFonts w:hint="eastAsia" w:ascii="Times New Roman" w:hAnsi="Times New Roman" w:eastAsia="方正仿宋_GBK" w:cs="Times New Roman"/>
          <w:kern w:val="2"/>
          <w:sz w:val="32"/>
          <w:szCs w:val="22"/>
          <w:vertAlign w:val="baseline"/>
          <w:lang w:val="en-US" w:eastAsia="zh-CN" w:bidi="ar-SA"/>
        </w:rPr>
        <w:t>16.62</w:t>
      </w:r>
      <w:r>
        <w:rPr>
          <w:rFonts w:hint="default" w:ascii="Times New Roman" w:hAnsi="Times New Roman" w:eastAsia="方正仿宋_GBK" w:cs="Times New Roman"/>
          <w:kern w:val="2"/>
          <w:sz w:val="32"/>
          <w:szCs w:val="22"/>
          <w:vertAlign w:val="baseline"/>
          <w:lang w:val="en-US" w:eastAsia="zh-CN" w:bidi="ar-SA"/>
        </w:rPr>
        <w:t>万元。</w:t>
      </w:r>
    </w:p>
    <w:p>
      <w:pPr>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br w:type="page"/>
      </w:r>
    </w:p>
    <w:tbl>
      <w:tblPr>
        <w:tblStyle w:val="10"/>
        <w:tblW w:w="8345" w:type="dxa"/>
        <w:tblInd w:w="0" w:type="dxa"/>
        <w:shd w:val="clear" w:color="auto" w:fill="auto"/>
        <w:tblLayout w:type="fixed"/>
        <w:tblCellMar>
          <w:top w:w="0" w:type="dxa"/>
          <w:left w:w="0" w:type="dxa"/>
          <w:bottom w:w="0" w:type="dxa"/>
          <w:right w:w="0" w:type="dxa"/>
        </w:tblCellMar>
      </w:tblPr>
      <w:tblGrid>
        <w:gridCol w:w="331"/>
        <w:gridCol w:w="1150"/>
        <w:gridCol w:w="584"/>
        <w:gridCol w:w="783"/>
        <w:gridCol w:w="667"/>
        <w:gridCol w:w="1316"/>
        <w:gridCol w:w="884"/>
        <w:gridCol w:w="766"/>
        <w:gridCol w:w="634"/>
        <w:gridCol w:w="566"/>
        <w:gridCol w:w="664"/>
      </w:tblGrid>
      <w:tr>
        <w:tblPrEx>
          <w:shd w:val="clear" w:color="auto" w:fill="auto"/>
          <w:tblLayout w:type="fixed"/>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小标宋_GBK" w:cs="Times New Roman"/>
                <w:b/>
                <w:i w:val="0"/>
                <w:color w:val="000000"/>
                <w:kern w:val="0"/>
                <w:sz w:val="32"/>
                <w:szCs w:val="32"/>
                <w:u w:val="none"/>
                <w:lang w:val="en-US" w:eastAsia="zh-CN" w:bidi="ar"/>
              </w:rPr>
            </w:pPr>
            <w:r>
              <w:rPr>
                <w:rFonts w:hint="default" w:ascii="Times New Roman" w:hAnsi="Times New Roman" w:eastAsia="方正小标宋_GBK" w:cs="Times New Roman"/>
                <w:b/>
                <w:i w:val="0"/>
                <w:color w:val="000000"/>
                <w:kern w:val="0"/>
                <w:sz w:val="32"/>
                <w:szCs w:val="32"/>
                <w:u w:val="none"/>
                <w:lang w:val="en-US" w:eastAsia="zh-CN" w:bidi="ar"/>
              </w:rPr>
              <w:t>龙凤坝镇劳动就业和社会保障服务所2023年度</w:t>
            </w:r>
            <w:r>
              <w:rPr>
                <w:rFonts w:hint="eastAsia" w:ascii="Times New Roman" w:hAnsi="Times New Roman" w:eastAsia="方正小标宋_GBK" w:cs="Times New Roman"/>
                <w:b/>
                <w:i w:val="0"/>
                <w:color w:val="000000"/>
                <w:kern w:val="0"/>
                <w:sz w:val="32"/>
                <w:szCs w:val="32"/>
                <w:u w:val="none"/>
                <w:lang w:val="en-US" w:eastAsia="zh-CN" w:bidi="ar"/>
              </w:rPr>
              <w:t>项目支出</w:t>
            </w:r>
          </w:p>
          <w:p>
            <w:pPr>
              <w:keepNext w:val="0"/>
              <w:keepLines w:val="0"/>
              <w:widowControl/>
              <w:suppressLineNumbers w:val="0"/>
              <w:jc w:val="center"/>
              <w:textAlignment w:val="center"/>
              <w:rPr>
                <w:rFonts w:hint="default" w:ascii="Times New Roman" w:hAnsi="Times New Roman" w:eastAsia="方正小标宋_GBK" w:cs="Times New Roman"/>
                <w:b/>
                <w:i w:val="0"/>
                <w:color w:val="000000"/>
                <w:kern w:val="0"/>
                <w:sz w:val="36"/>
                <w:szCs w:val="36"/>
                <w:u w:val="none"/>
                <w:lang w:val="en-US" w:eastAsia="zh-CN" w:bidi="ar"/>
              </w:rPr>
            </w:pPr>
            <w:r>
              <w:rPr>
                <w:rFonts w:hint="default" w:ascii="Times New Roman" w:hAnsi="Times New Roman" w:eastAsia="方正小标宋_GBK" w:cs="Times New Roman"/>
                <w:b/>
                <w:i w:val="0"/>
                <w:color w:val="000000"/>
                <w:kern w:val="0"/>
                <w:sz w:val="32"/>
                <w:szCs w:val="32"/>
                <w:u w:val="none"/>
                <w:lang w:val="en-US" w:eastAsia="zh-CN" w:bidi="ar"/>
              </w:rPr>
              <w:t>绩效自评</w:t>
            </w:r>
            <w:r>
              <w:rPr>
                <w:rFonts w:hint="eastAsia" w:ascii="Times New Roman" w:hAnsi="Times New Roman" w:eastAsia="方正小标宋_GBK" w:cs="Times New Roman"/>
                <w:b/>
                <w:i w:val="0"/>
                <w:color w:val="000000"/>
                <w:kern w:val="0"/>
                <w:sz w:val="32"/>
                <w:szCs w:val="32"/>
                <w:u w:val="none"/>
                <w:lang w:val="en-US" w:eastAsia="zh-CN" w:bidi="ar"/>
              </w:rPr>
              <w:t>情况</w:t>
            </w:r>
            <w:r>
              <w:rPr>
                <w:rFonts w:hint="default" w:ascii="Times New Roman" w:hAnsi="Times New Roman" w:eastAsia="方正小标宋_GBK" w:cs="Times New Roman"/>
                <w:b/>
                <w:i w:val="0"/>
                <w:color w:val="000000"/>
                <w:kern w:val="0"/>
                <w:sz w:val="32"/>
                <w:szCs w:val="32"/>
                <w:u w:val="none"/>
                <w:lang w:val="en-US" w:eastAsia="zh-CN" w:bidi="ar"/>
              </w:rPr>
              <w:t>表</w:t>
            </w:r>
          </w:p>
        </w:tc>
      </w:tr>
      <w:tr>
        <w:tblPrEx>
          <w:tblLayout w:type="fixed"/>
          <w:tblCellMar>
            <w:top w:w="0" w:type="dxa"/>
            <w:left w:w="0" w:type="dxa"/>
            <w:bottom w:w="0" w:type="dxa"/>
            <w:right w:w="0" w:type="dxa"/>
          </w:tblCellMar>
        </w:tblPrEx>
        <w:trPr>
          <w:trHeight w:val="1075" w:hRule="atLeast"/>
        </w:trPr>
        <w:tc>
          <w:tcPr>
            <w:tcW w:w="33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Times New Roman" w:hAnsi="Times New Roman" w:eastAsia="宋体" w:cs="Times New Roman"/>
                <w:i w:val="0"/>
                <w:color w:val="auto"/>
                <w:sz w:val="22"/>
                <w:szCs w:val="22"/>
                <w:u w:val="none"/>
                <w:lang w:eastAsia="zh-CN"/>
              </w:rPr>
            </w:pPr>
            <w:r>
              <w:rPr>
                <w:rStyle w:val="17"/>
                <w:rFonts w:hint="eastAsia" w:ascii="Times New Roman" w:hAnsi="Times New Roman" w:cs="Times New Roman"/>
                <w:lang w:val="en-US" w:eastAsia="zh-CN" w:bidi="ar"/>
              </w:rPr>
              <w:t>序号</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default" w:ascii="Times New Roman" w:hAnsi="Times New Roman" w:cs="Times New Roman"/>
                <w:lang w:val="en-US" w:eastAsia="zh-CN" w:bidi="ar"/>
              </w:rPr>
            </w:pPr>
            <w:r>
              <w:rPr>
                <w:rStyle w:val="17"/>
                <w:rFonts w:hint="eastAsia" w:ascii="Times New Roman" w:hAnsi="Times New Roman" w:cs="Times New Roman"/>
                <w:lang w:val="en-US" w:eastAsia="zh-CN" w:bidi="ar"/>
              </w:rPr>
              <w:t>项目名称</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default" w:ascii="Times New Roman" w:hAnsi="Times New Roman" w:cs="Times New Roman"/>
                <w:lang w:val="en-US" w:eastAsia="zh-CN" w:bidi="ar"/>
              </w:rPr>
            </w:pPr>
            <w:r>
              <w:rPr>
                <w:rStyle w:val="17"/>
                <w:rFonts w:hint="eastAsia" w:ascii="Times New Roman" w:hAnsi="Times New Roman" w:cs="Times New Roman"/>
                <w:lang w:val="en-US" w:eastAsia="zh-CN" w:bidi="ar"/>
              </w:rPr>
              <w:t>指标名称</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default" w:ascii="Times New Roman" w:hAnsi="Times New Roman" w:cs="Times New Roman"/>
                <w:lang w:val="en-US" w:eastAsia="zh-CN" w:bidi="ar"/>
              </w:rPr>
            </w:pPr>
            <w:r>
              <w:rPr>
                <w:rStyle w:val="17"/>
                <w:rFonts w:hint="eastAsia" w:ascii="Times New Roman" w:hAnsi="Times New Roman" w:cs="Times New Roman"/>
                <w:lang w:val="en-US" w:eastAsia="zh-CN" w:bidi="ar"/>
              </w:rPr>
              <w:t>指标性质</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default" w:ascii="Times New Roman" w:hAnsi="Times New Roman" w:cs="Times New Roman"/>
                <w:lang w:val="en-US" w:eastAsia="zh-CN" w:bidi="ar"/>
              </w:rPr>
            </w:pPr>
            <w:r>
              <w:rPr>
                <w:rStyle w:val="17"/>
                <w:rFonts w:hint="eastAsia" w:ascii="Times New Roman" w:hAnsi="Times New Roman" w:cs="Times New Roman"/>
                <w:lang w:val="en-US" w:eastAsia="zh-CN" w:bidi="ar"/>
              </w:rPr>
              <w:t>指标值</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default" w:ascii="Times New Roman" w:hAnsi="Times New Roman" w:cs="Times New Roman"/>
                <w:lang w:val="en-US" w:eastAsia="zh-CN" w:bidi="ar"/>
              </w:rPr>
            </w:pPr>
            <w:r>
              <w:rPr>
                <w:rStyle w:val="17"/>
                <w:rFonts w:hint="eastAsia" w:ascii="Times New Roman" w:hAnsi="Times New Roman" w:cs="Times New Roman"/>
                <w:lang w:val="en-US" w:eastAsia="zh-CN" w:bidi="ar"/>
              </w:rPr>
              <w:t>计量单位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eastAsia" w:ascii="Times New Roman" w:hAnsi="Times New Roman" w:cs="Times New Roman"/>
                <w:lang w:val="en-US" w:eastAsia="zh-CN" w:bidi="ar"/>
              </w:rPr>
            </w:pPr>
            <w:r>
              <w:rPr>
                <w:rStyle w:val="17"/>
                <w:rFonts w:hint="eastAsia" w:ascii="Times New Roman" w:hAnsi="Times New Roman" w:cs="Times New Roman"/>
                <w:lang w:val="en-US" w:eastAsia="zh-CN" w:bidi="ar"/>
              </w:rPr>
              <w:t>指标权重</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default" w:ascii="Times New Roman" w:hAnsi="Times New Roman" w:cs="Times New Roman"/>
                <w:lang w:val="en-US" w:eastAsia="zh-CN" w:bidi="ar"/>
              </w:rPr>
            </w:pPr>
            <w:r>
              <w:rPr>
                <w:rStyle w:val="17"/>
                <w:rFonts w:hint="eastAsia" w:ascii="Times New Roman" w:hAnsi="Times New Roman" w:cs="Times New Roman"/>
                <w:lang w:val="en-US" w:eastAsia="zh-CN" w:bidi="ar"/>
              </w:rPr>
              <w:t>全年完成值</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eastAsia" w:ascii="Times New Roman" w:hAnsi="Times New Roman" w:cs="Times New Roman"/>
                <w:lang w:val="en-US" w:eastAsia="zh-CN" w:bidi="ar"/>
              </w:rPr>
            </w:pPr>
            <w:r>
              <w:rPr>
                <w:rStyle w:val="17"/>
                <w:rFonts w:hint="eastAsia" w:ascii="Times New Roman" w:hAnsi="Times New Roman" w:cs="Times New Roman"/>
                <w:lang w:val="en-US" w:eastAsia="zh-CN" w:bidi="ar"/>
              </w:rPr>
              <w:t>指标得分</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eastAsia" w:ascii="Times New Roman" w:hAnsi="Times New Roman" w:cs="Times New Roman"/>
                <w:lang w:val="en-US" w:eastAsia="zh-CN" w:bidi="ar"/>
              </w:rPr>
            </w:pPr>
            <w:r>
              <w:rPr>
                <w:rStyle w:val="17"/>
                <w:rFonts w:hint="eastAsia" w:ascii="Times New Roman" w:hAnsi="Times New Roman" w:cs="Times New Roman"/>
                <w:lang w:val="en-US" w:eastAsia="zh-CN" w:bidi="ar"/>
              </w:rPr>
              <w:t>说明</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0" w:firstLineChars="0"/>
              <w:jc w:val="center"/>
              <w:textAlignment w:val="center"/>
              <w:outlineLvl w:val="9"/>
              <w:rPr>
                <w:rStyle w:val="17"/>
                <w:rFonts w:hint="eastAsia" w:ascii="Times New Roman" w:hAnsi="Times New Roman" w:cs="Times New Roman"/>
                <w:lang w:val="en-US" w:eastAsia="zh-CN" w:bidi="ar"/>
              </w:rPr>
            </w:pPr>
            <w:r>
              <w:rPr>
                <w:rStyle w:val="17"/>
                <w:rFonts w:hint="eastAsia" w:ascii="Times New Roman" w:hAnsi="Times New Roman" w:cs="Times New Roman"/>
                <w:lang w:val="en-US" w:eastAsia="zh-CN" w:bidi="ar"/>
              </w:rPr>
              <w:t>自评得分</w:t>
            </w:r>
          </w:p>
        </w:tc>
      </w:tr>
      <w:tr>
        <w:tblPrEx>
          <w:tblLayout w:type="fixed"/>
          <w:tblCellMar>
            <w:top w:w="0" w:type="dxa"/>
            <w:left w:w="0" w:type="dxa"/>
            <w:bottom w:w="0" w:type="dxa"/>
            <w:right w:w="0" w:type="dxa"/>
          </w:tblCellMar>
        </w:tblPrEx>
        <w:trPr>
          <w:trHeight w:val="500" w:hRule="atLeast"/>
        </w:trPr>
        <w:tc>
          <w:tcPr>
            <w:tcW w:w="331"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1</w:t>
            </w:r>
          </w:p>
        </w:tc>
        <w:tc>
          <w:tcPr>
            <w:tcW w:w="1150" w:type="dxa"/>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default" w:ascii="Times New Roman" w:hAnsi="Times New Roman" w:cs="Times New Roman"/>
                <w:lang w:val="en-US" w:eastAsia="zh-CN" w:bidi="ar"/>
              </w:rPr>
              <w:t>村（居）/社区助残联络员工作补贴</w:t>
            </w:r>
          </w:p>
        </w:tc>
        <w:tc>
          <w:tcPr>
            <w:tcW w:w="5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default" w:ascii="Times New Roman" w:hAnsi="Times New Roman" w:cs="Times New Roman"/>
                <w:lang w:val="en-US" w:eastAsia="zh-CN" w:bidi="ar"/>
              </w:rPr>
              <w:t>村居助残联络员人数</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default" w:ascii="Times New Roman" w:hAnsi="Times New Roman" w:cs="Times New Roman"/>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default" w:ascii="Times New Roman" w:hAnsi="Times New Roman" w:cs="Times New Roman"/>
                <w:lang w:val="en-US" w:eastAsia="zh-CN" w:bidi="ar"/>
              </w:rPr>
              <w:t>人</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30</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11</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30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default"/>
                <w:lang w:val="en-US" w:eastAsia="zh-CN"/>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30</w:t>
            </w:r>
          </w:p>
        </w:tc>
      </w:tr>
      <w:tr>
        <w:tblPrEx>
          <w:tblLayout w:type="fixed"/>
          <w:tblCellMar>
            <w:top w:w="0" w:type="dxa"/>
            <w:left w:w="0" w:type="dxa"/>
            <w:bottom w:w="0" w:type="dxa"/>
            <w:right w:w="0" w:type="dxa"/>
          </w:tblCellMar>
        </w:tblPrEx>
        <w:trPr>
          <w:trHeight w:val="500" w:hRule="atLeast"/>
        </w:trPr>
        <w:tc>
          <w:tcPr>
            <w:tcW w:w="331"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eastAsia" w:ascii="Times New Roman" w:hAnsi="Times New Roman" w:cs="Times New Roman"/>
                <w:lang w:val="en-US" w:eastAsia="zh-CN" w:bidi="ar"/>
              </w:rPr>
            </w:pPr>
          </w:p>
        </w:tc>
        <w:tc>
          <w:tcPr>
            <w:tcW w:w="115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p>
        </w:tc>
        <w:tc>
          <w:tcPr>
            <w:tcW w:w="5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default" w:ascii="Times New Roman" w:hAnsi="Times New Roman" w:cs="Times New Roman"/>
                <w:lang w:val="en-US" w:eastAsia="zh-CN" w:bidi="ar"/>
              </w:rPr>
              <w:t>发放补贴及时率</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default" w:ascii="Times New Roman" w:hAnsi="Times New Roman" w:cs="Times New Roman"/>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default" w:ascii="Times New Roman" w:hAnsi="Times New Roman" w:cs="Times New Roman"/>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30</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30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default"/>
                <w:lang w:val="en-US" w:eastAsia="zh-CN"/>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lang w:val="en-US" w:eastAsia="zh-CN"/>
              </w:rPr>
            </w:pPr>
            <w:r>
              <w:rPr>
                <w:rStyle w:val="18"/>
                <w:rFonts w:hint="eastAsia" w:ascii="Times New Roman" w:hAnsi="Times New Roman" w:cs="Times New Roman"/>
                <w:lang w:val="en-US" w:eastAsia="zh-CN" w:bidi="ar"/>
              </w:rPr>
              <w:t>30</w:t>
            </w:r>
          </w:p>
        </w:tc>
      </w:tr>
      <w:tr>
        <w:tblPrEx>
          <w:tblLayout w:type="fixed"/>
          <w:tblCellMar>
            <w:top w:w="0" w:type="dxa"/>
            <w:left w:w="0" w:type="dxa"/>
            <w:bottom w:w="0" w:type="dxa"/>
            <w:right w:w="0" w:type="dxa"/>
          </w:tblCellMar>
        </w:tblPrEx>
        <w:trPr>
          <w:trHeight w:val="500" w:hRule="atLeast"/>
        </w:trPr>
        <w:tc>
          <w:tcPr>
            <w:tcW w:w="331"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p>
        </w:tc>
        <w:tc>
          <w:tcPr>
            <w:tcW w:w="115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p>
        </w:tc>
        <w:tc>
          <w:tcPr>
            <w:tcW w:w="5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default" w:ascii="Times New Roman" w:hAnsi="Times New Roman" w:cs="Times New Roman"/>
                <w:lang w:val="en-US" w:eastAsia="zh-CN" w:bidi="ar"/>
              </w:rPr>
              <w:t>助残联络员增加年收益</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default" w:ascii="Times New Roman" w:hAnsi="Times New Roman" w:cs="Times New Roman"/>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2400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30</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2400</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30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Style w:val="18"/>
                <w:rFonts w:hint="default" w:ascii="Times New Roman" w:hAnsi="Times New Roman" w:cs="Times New Roman"/>
                <w:lang w:val="en-US" w:eastAsia="zh-CN" w:bidi="ar"/>
              </w:rPr>
            </w:pPr>
            <w:r>
              <w:rPr>
                <w:rStyle w:val="18"/>
                <w:rFonts w:hint="eastAsia" w:ascii="Times New Roman" w:hAnsi="Times New Roman" w:cs="Times New Roman"/>
                <w:lang w:val="en-US" w:eastAsia="zh-CN" w:bidi="ar"/>
              </w:rPr>
              <w:t>30</w:t>
            </w:r>
          </w:p>
        </w:tc>
      </w:tr>
    </w:tbl>
    <w:p>
      <w:pPr>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br w:type="page"/>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（二）单位绩效评价情况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我单位未组织开展绩效评价。</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default" w:ascii="Times New Roman" w:hAnsi="Times New Roman" w:eastAsia="方正楷体_GBK" w:cs="Times New Roman"/>
          <w:b w:val="0"/>
          <w:bCs/>
          <w:sz w:val="32"/>
          <w:szCs w:val="32"/>
          <w:shd w:val="clear" w:color="auto" w:fill="FFFFFF"/>
          <w:lang w:val="en-US" w:eastAsia="zh-CN"/>
        </w:rPr>
      </w:pPr>
      <w:r>
        <w:rPr>
          <w:rStyle w:val="9"/>
          <w:rFonts w:hint="default" w:ascii="Times New Roman" w:hAnsi="Times New Roman" w:eastAsia="方正楷体_GBK" w:cs="Times New Roman"/>
          <w:b w:val="0"/>
          <w:bCs/>
          <w:sz w:val="32"/>
          <w:szCs w:val="32"/>
          <w:shd w:val="clear" w:color="auto" w:fill="FFFFFF"/>
          <w:lang w:val="en-US" w:eastAsia="zh-CN"/>
        </w:rPr>
        <w:t>（三）财政绩效评价情况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Fonts w:hint="default" w:ascii="Times New Roman" w:hAnsi="Times New Roman" w:eastAsia="方正仿宋_GBK" w:cs="Times New Roman"/>
          <w:kern w:val="2"/>
          <w:sz w:val="32"/>
          <w:szCs w:val="22"/>
          <w:vertAlign w:val="baseline"/>
          <w:lang w:val="en-US" w:eastAsia="zh-CN" w:bidi="ar-SA"/>
        </w:rPr>
        <w:t>县财政局未委托第三方对我单位开展绩效评价。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8" w:firstLineChars="200"/>
        <w:jc w:val="both"/>
        <w:textAlignment w:val="auto"/>
        <w:outlineLvl w:val="9"/>
        <w:rPr>
          <w:rFonts w:hint="default" w:ascii="Times New Roman" w:hAnsi="Times New Roman" w:eastAsia="方正黑体_GBK" w:cs="Times New Roman"/>
          <w:w w:val="95"/>
          <w:kern w:val="2"/>
          <w:sz w:val="32"/>
          <w:szCs w:val="32"/>
          <w:lang w:val="en-US" w:eastAsia="zh-CN"/>
        </w:rPr>
      </w:pPr>
      <w:r>
        <w:rPr>
          <w:rFonts w:hint="default" w:ascii="Times New Roman" w:hAnsi="Times New Roman" w:eastAsia="方正黑体_GBK" w:cs="Times New Roman"/>
          <w:w w:val="95"/>
          <w:kern w:val="2"/>
          <w:sz w:val="32"/>
          <w:szCs w:val="32"/>
          <w:lang w:val="en-US" w:eastAsia="zh-CN"/>
        </w:rPr>
        <w:t>六、专业名词解释</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（一）财政拨款收入：</w:t>
      </w:r>
      <w:r>
        <w:rPr>
          <w:rFonts w:hint="default" w:ascii="Times New Roman" w:hAnsi="Times New Roman" w:eastAsia="方正仿宋_GBK" w:cs="Times New Roman"/>
          <w:kern w:val="2"/>
          <w:sz w:val="32"/>
          <w:szCs w:val="22"/>
          <w:vertAlign w:val="baseline"/>
          <w:lang w:val="en-US" w:eastAsia="zh-CN" w:bidi="ar-SA"/>
        </w:rPr>
        <w:t>指本年度从本级财政部门取得的财政拨款，包括一般公共预算财政拨款和政府性基金预算财政拨款。</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（二）事业收入：</w:t>
      </w:r>
      <w:r>
        <w:rPr>
          <w:rFonts w:hint="default" w:ascii="Times New Roman" w:hAnsi="Times New Roman" w:eastAsia="方正仿宋_GBK" w:cs="Times New Roman"/>
          <w:kern w:val="2"/>
          <w:sz w:val="32"/>
          <w:szCs w:val="22"/>
          <w:vertAlign w:val="baseline"/>
          <w:lang w:val="en-US" w:eastAsia="zh-CN" w:bidi="ar-SA"/>
        </w:rPr>
        <w:t>指事业单位开展专业业务活动及其辅助活动取得的现金流入；事业单位收到的财政专户实际核拨的教育收费等资金在此反映。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（三）经营收入：</w:t>
      </w:r>
      <w:r>
        <w:rPr>
          <w:rFonts w:hint="default" w:ascii="Times New Roman" w:hAnsi="Times New Roman" w:eastAsia="方正仿宋_GBK" w:cs="Times New Roman"/>
          <w:kern w:val="2"/>
          <w:sz w:val="32"/>
          <w:szCs w:val="22"/>
          <w:vertAlign w:val="baseline"/>
          <w:lang w:val="en-US" w:eastAsia="zh-CN" w:bidi="ar-SA"/>
        </w:rPr>
        <w:t>指事业单位在专业业务活动及其辅助活动之外开展非独立核算经营活动取得的现金流入。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（四）其他收入：</w:t>
      </w:r>
      <w:r>
        <w:rPr>
          <w:rFonts w:hint="default" w:ascii="Times New Roman" w:hAnsi="Times New Roman" w:eastAsia="方正仿宋_GBK" w:cs="Times New Roman"/>
          <w:kern w:val="2"/>
          <w:sz w:val="32"/>
          <w:szCs w:val="22"/>
          <w:vertAlign w:val="baseline"/>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（五）使用非财政拨款结余：</w:t>
      </w:r>
      <w:r>
        <w:rPr>
          <w:rFonts w:hint="default" w:ascii="Times New Roman" w:hAnsi="Times New Roman" w:eastAsia="方正仿宋_GBK" w:cs="Times New Roman"/>
          <w:kern w:val="2"/>
          <w:sz w:val="32"/>
          <w:szCs w:val="22"/>
          <w:vertAlign w:val="baseline"/>
          <w:lang w:val="en-US" w:eastAsia="zh-CN" w:bidi="ar-SA"/>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（六）年初结转和结余：</w:t>
      </w:r>
      <w:r>
        <w:rPr>
          <w:rFonts w:hint="default" w:ascii="Times New Roman" w:hAnsi="Times New Roman" w:eastAsia="方正仿宋_GBK" w:cs="Times New Roman"/>
          <w:kern w:val="2"/>
          <w:sz w:val="32"/>
          <w:szCs w:val="22"/>
          <w:vertAlign w:val="baseline"/>
          <w:lang w:val="en-US" w:eastAsia="zh-CN" w:bidi="ar-SA"/>
        </w:rPr>
        <w:t>指单位上年结转本年使用的基本支出结转、项目支出结转和结余、经营结余。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（七）结余分配：</w:t>
      </w:r>
      <w:r>
        <w:rPr>
          <w:rFonts w:hint="default" w:ascii="Times New Roman" w:hAnsi="Times New Roman" w:eastAsia="方正仿宋_GBK" w:cs="Times New Roman"/>
          <w:kern w:val="2"/>
          <w:sz w:val="32"/>
          <w:szCs w:val="22"/>
          <w:vertAlign w:val="baseline"/>
          <w:lang w:val="en-US" w:eastAsia="zh-CN" w:bidi="ar-SA"/>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（八）年末结转和结余：</w:t>
      </w:r>
      <w:r>
        <w:rPr>
          <w:rFonts w:hint="default" w:ascii="Times New Roman" w:hAnsi="Times New Roman" w:eastAsia="方正仿宋_GBK" w:cs="Times New Roman"/>
          <w:kern w:val="2"/>
          <w:sz w:val="32"/>
          <w:szCs w:val="22"/>
          <w:vertAlign w:val="baseline"/>
          <w:lang w:val="en-US" w:eastAsia="zh-CN" w:bidi="ar-SA"/>
        </w:rPr>
        <w:t>指单位结转下年的基本支出结转、项目支出结转和结余、经营结余。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（九）基本支出：</w:t>
      </w:r>
      <w:r>
        <w:rPr>
          <w:rFonts w:hint="default" w:ascii="Times New Roman" w:hAnsi="Times New Roman" w:eastAsia="方正仿宋_GBK" w:cs="Times New Roman"/>
          <w:kern w:val="2"/>
          <w:sz w:val="32"/>
          <w:szCs w:val="22"/>
          <w:vertAlign w:val="baseline"/>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（十）项目支出：</w:t>
      </w:r>
      <w:r>
        <w:rPr>
          <w:rFonts w:hint="default" w:ascii="Times New Roman" w:hAnsi="Times New Roman" w:eastAsia="方正仿宋_GBK" w:cs="Times New Roman"/>
          <w:kern w:val="2"/>
          <w:sz w:val="32"/>
          <w:szCs w:val="22"/>
          <w:vertAlign w:val="baseline"/>
          <w:lang w:val="en-US" w:eastAsia="zh-CN" w:bidi="ar-SA"/>
        </w:rPr>
        <w:t>指在基本支出之外为完成特定行政任务和事业发展目标所发生的支出。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（十一）经营支出：</w:t>
      </w:r>
      <w:r>
        <w:rPr>
          <w:rFonts w:hint="default" w:ascii="Times New Roman" w:hAnsi="Times New Roman" w:eastAsia="方正仿宋_GBK" w:cs="Times New Roman"/>
          <w:kern w:val="2"/>
          <w:sz w:val="32"/>
          <w:szCs w:val="22"/>
          <w:vertAlign w:val="baseline"/>
          <w:lang w:val="en-US" w:eastAsia="zh-CN" w:bidi="ar-SA"/>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（十二）“三公”经费：</w:t>
      </w:r>
      <w:r>
        <w:rPr>
          <w:rFonts w:hint="default" w:ascii="Times New Roman" w:hAnsi="Times New Roman" w:eastAsia="方正仿宋_GBK" w:cs="Times New Roman"/>
          <w:kern w:val="2"/>
          <w:sz w:val="32"/>
          <w:szCs w:val="22"/>
          <w:vertAlign w:val="baseline"/>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（十三）机关运行经费：</w:t>
      </w:r>
      <w:r>
        <w:rPr>
          <w:rFonts w:hint="default" w:ascii="Times New Roman" w:hAnsi="Times New Roman" w:eastAsia="方正仿宋_GBK" w:cs="Times New Roman"/>
          <w:kern w:val="2"/>
          <w:sz w:val="32"/>
          <w:szCs w:val="22"/>
          <w:vertAlign w:val="baseline"/>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（十四）工资福利支出（支出经济分类科目类级）：</w:t>
      </w:r>
      <w:r>
        <w:rPr>
          <w:rFonts w:hint="default" w:ascii="Times New Roman" w:hAnsi="Times New Roman" w:eastAsia="方正仿宋_GBK" w:cs="Times New Roman"/>
          <w:kern w:val="2"/>
          <w:sz w:val="32"/>
          <w:szCs w:val="22"/>
          <w:vertAlign w:val="baseline"/>
          <w:lang w:val="en-US" w:eastAsia="zh-CN" w:bidi="ar-SA"/>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（十五）商品和服务支出（支出经济分类科目类级）：</w:t>
      </w:r>
      <w:r>
        <w:rPr>
          <w:rFonts w:hint="default" w:ascii="Times New Roman" w:hAnsi="Times New Roman" w:eastAsia="方正仿宋_GBK" w:cs="Times New Roman"/>
          <w:kern w:val="2"/>
          <w:sz w:val="32"/>
          <w:szCs w:val="22"/>
          <w:vertAlign w:val="baseline"/>
          <w:lang w:val="en-US" w:eastAsia="zh-CN" w:bidi="ar-SA"/>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（十六）对个人和家庭的补助（支出经济分类科目类级）：</w:t>
      </w:r>
      <w:r>
        <w:rPr>
          <w:rFonts w:hint="default" w:ascii="Times New Roman" w:hAnsi="Times New Roman" w:eastAsia="方正仿宋_GBK" w:cs="Times New Roman"/>
          <w:kern w:val="2"/>
          <w:sz w:val="32"/>
          <w:szCs w:val="22"/>
          <w:vertAlign w:val="baseline"/>
          <w:lang w:val="en-US" w:eastAsia="zh-CN" w:bidi="ar-SA"/>
        </w:rPr>
        <w:t>反映用于对个人和家庭的补助支出。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rPr>
        <w:t>（十七）其他资本性支出（支出经济分类科目类级）：</w:t>
      </w:r>
      <w:r>
        <w:rPr>
          <w:rFonts w:hint="default" w:ascii="Times New Roman" w:hAnsi="Times New Roman" w:eastAsia="方正仿宋_GBK" w:cs="Times New Roman"/>
          <w:kern w:val="2"/>
          <w:sz w:val="32"/>
          <w:szCs w:val="22"/>
          <w:vertAlign w:val="baseline"/>
          <w:lang w:val="en-US" w:eastAsia="zh-CN" w:bidi="ar-SA"/>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8" w:firstLineChars="200"/>
        <w:jc w:val="both"/>
        <w:textAlignment w:val="auto"/>
        <w:outlineLvl w:val="9"/>
        <w:rPr>
          <w:rFonts w:hint="default" w:ascii="Times New Roman" w:hAnsi="Times New Roman" w:eastAsia="方正黑体_GBK" w:cs="Times New Roman"/>
          <w:w w:val="95"/>
          <w:kern w:val="2"/>
          <w:sz w:val="32"/>
          <w:szCs w:val="32"/>
          <w:lang w:val="en-US" w:eastAsia="zh-CN"/>
        </w:rPr>
      </w:pPr>
      <w:r>
        <w:rPr>
          <w:rFonts w:hint="default" w:ascii="Times New Roman" w:hAnsi="Times New Roman" w:eastAsia="方正黑体_GBK" w:cs="Times New Roman"/>
          <w:w w:val="95"/>
          <w:kern w:val="2"/>
          <w:sz w:val="32"/>
          <w:szCs w:val="32"/>
          <w:lang w:val="en-US" w:eastAsia="zh-CN"/>
        </w:rPr>
        <w:t>七、决算公开联系方式及信息反馈渠道</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vertAlign w:val="baseline"/>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2"/>
          <w:sz w:val="32"/>
          <w:szCs w:val="22"/>
          <w:vertAlign w:val="baseline"/>
          <w:lang w:val="en-US" w:eastAsia="zh-CN" w:bidi="ar-SA"/>
        </w:rPr>
        <w:t>本单位决算公开信息反馈和联系方式：龙吉</w:t>
      </w:r>
      <w:r>
        <w:rPr>
          <w:rFonts w:hint="eastAsia" w:ascii="Times New Roman" w:hAnsi="Times New Roman" w:eastAsia="方正仿宋_GBK" w:cs="Times New Roman"/>
          <w:kern w:val="2"/>
          <w:sz w:val="32"/>
          <w:szCs w:val="22"/>
          <w:vertAlign w:val="baseline"/>
          <w:lang w:val="en-US" w:eastAsia="zh-CN" w:bidi="ar-SA"/>
        </w:rPr>
        <w:t xml:space="preserve">  </w:t>
      </w:r>
      <w:r>
        <w:rPr>
          <w:rFonts w:hint="default" w:ascii="Times New Roman" w:hAnsi="Times New Roman" w:eastAsia="方正仿宋_GBK" w:cs="Times New Roman"/>
          <w:kern w:val="2"/>
          <w:sz w:val="32"/>
          <w:szCs w:val="22"/>
          <w:vertAlign w:val="baseline"/>
          <w:lang w:val="en-US" w:eastAsia="zh-CN" w:bidi="ar-SA"/>
        </w:rPr>
        <w:t>023-76865666</w:t>
      </w:r>
    </w:p>
    <w:p>
      <w:pPr>
        <w:rPr>
          <w:rFonts w:hint="default" w:cs="宋体"/>
          <w:color w:val="auto"/>
          <w:sz w:val="21"/>
          <w:szCs w:val="21"/>
        </w:rPr>
      </w:pPr>
    </w:p>
    <w:tbl>
      <w:tblPr>
        <w:tblStyle w:val="10"/>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公开01表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80" w:lineRule="exact"/>
              <w:textAlignment w:val="bottom"/>
              <w:rPr>
                <w:rFonts w:hint="default" w:cs="宋体"/>
                <w:color w:val="auto"/>
                <w:sz w:val="20"/>
                <w:szCs w:val="20"/>
              </w:rPr>
            </w:pPr>
            <w:r>
              <w:rPr>
                <w:rFonts w:cs="宋体"/>
                <w:color w:val="auto"/>
                <w:sz w:val="20"/>
                <w:szCs w:val="20"/>
              </w:rPr>
              <w:t>公开单位：</w:t>
            </w:r>
            <w:r>
              <w:rPr>
                <w:color w:val="auto"/>
                <w:sz w:val="20"/>
                <w:u w:color="auto"/>
              </w:rPr>
              <w:t>重庆市秀山土家族苗族自治县龙凤坝镇劳动就业和社会保障服务所</w:t>
            </w: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2"/>
                <w:szCs w:val="22"/>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r>
              <w:rPr>
                <w:rFonts w:cs="宋体"/>
                <w:color w:val="auto"/>
                <w:sz w:val="20"/>
                <w:szCs w:val="20"/>
              </w:rPr>
              <w:t>52.78</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r>
              <w:rPr>
                <w:rFonts w:cs="宋体"/>
                <w:color w:val="auto"/>
                <w:sz w:val="20"/>
                <w:szCs w:val="20"/>
              </w:rPr>
              <w:t>43.45</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r>
              <w:rPr>
                <w:rFonts w:cs="宋体"/>
                <w:color w:val="auto"/>
                <w:sz w:val="20"/>
                <w:szCs w:val="20"/>
              </w:rPr>
              <w:t>6.59</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r>
              <w:rPr>
                <w:rFonts w:cs="宋体"/>
                <w:color w:val="auto"/>
                <w:sz w:val="20"/>
                <w:szCs w:val="20"/>
              </w:rPr>
              <w:t>2.74</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cs="宋体"/>
                <w:b/>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r>
              <w:rPr>
                <w:rFonts w:cs="宋体"/>
                <w:color w:val="auto"/>
                <w:sz w:val="20"/>
                <w:szCs w:val="20"/>
              </w:rPr>
              <w:t>52.78</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r>
              <w:rPr>
                <w:rFonts w:cs="宋体"/>
                <w:color w:val="auto"/>
                <w:sz w:val="20"/>
                <w:szCs w:val="20"/>
              </w:rPr>
              <w:t>52.78</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r>
              <w:rPr>
                <w:rFonts w:cs="宋体"/>
                <w:color w:val="auto"/>
                <w:sz w:val="20"/>
                <w:szCs w:val="20"/>
              </w:rPr>
              <w:t>52.78</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eastAsia" w:eastAsia="宋体" w:cs="宋体"/>
                <w:color w:val="auto"/>
                <w:sz w:val="20"/>
                <w:szCs w:val="20"/>
                <w:lang w:eastAsia="zh-CN"/>
              </w:rPr>
            </w:pPr>
            <w:r>
              <w:rPr>
                <w:rFonts w:cs="宋体"/>
                <w:color w:val="auto"/>
                <w:sz w:val="20"/>
                <w:szCs w:val="20"/>
              </w:rPr>
              <w:t>52.78</w:t>
            </w:r>
          </w:p>
        </w:tc>
      </w:tr>
    </w:tbl>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0"/>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4873"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公开单位：</w:t>
            </w:r>
            <w:r>
              <w:rPr>
                <w:color w:val="auto"/>
                <w:sz w:val="20"/>
                <w:u w:color="auto"/>
              </w:rPr>
              <w:t>重庆市秀山土家族苗族自治县龙凤坝镇劳动就业和社会保障服务所</w:t>
            </w: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公开02表</w:t>
            </w:r>
          </w:p>
        </w:tc>
      </w:tr>
      <w:tr>
        <w:tblPrEx>
          <w:tblLayout w:type="fixed"/>
          <w:tblCellMar>
            <w:top w:w="0" w:type="dxa"/>
            <w:left w:w="0" w:type="dxa"/>
            <w:bottom w:w="0" w:type="dxa"/>
            <w:right w:w="0" w:type="dxa"/>
          </w:tblCellMar>
        </w:tblPrEx>
        <w:trPr>
          <w:trHeight w:val="328" w:hRule="atLeast"/>
        </w:trPr>
        <w:tc>
          <w:tcPr>
            <w:tcW w:w="4873"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bCs/>
                <w:color w:val="auto"/>
                <w:sz w:val="20"/>
                <w:szCs w:val="20"/>
              </w:rPr>
              <w:t>52.78</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bCs/>
                <w:color w:val="auto"/>
                <w:sz w:val="20"/>
                <w:szCs w:val="20"/>
              </w:rPr>
              <w:t>52.78</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43.45</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43.45</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28.32</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28.32</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2080109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社会保险经办机构</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28.32</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28.32</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3.76</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3.76</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2.50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2.50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1.25</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1.25</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6.54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6.54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2081199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6.54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6.54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特困人员救助供养</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4.83</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4.83</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农村特困人员救助供养支出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4.83</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4.83</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6.59</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6.59</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1.35</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1.35</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1.35</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1.35</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医疗保障管理事务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5.24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5.24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医疗保障政策管理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5.24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5.24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2.74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2.74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2.74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2.74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2.74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2.74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10"/>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5158"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eastAsia="宋体" w:cs="宋体"/>
                <w:color w:val="auto"/>
                <w:sz w:val="20"/>
                <w:szCs w:val="20"/>
                <w:lang w:eastAsia="zh-CN"/>
              </w:rPr>
            </w:pPr>
            <w:r>
              <w:rPr>
                <w:rFonts w:cs="宋体"/>
                <w:color w:val="auto"/>
                <w:sz w:val="20"/>
                <w:szCs w:val="20"/>
              </w:rPr>
              <w:t>公开单位：</w:t>
            </w:r>
            <w:r>
              <w:rPr>
                <w:color w:val="auto"/>
                <w:sz w:val="20"/>
                <w:u w:color="auto"/>
              </w:rPr>
              <w:t>重庆市秀山土家族苗族自治县龙凤坝镇劳动就业和社会保障服务所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公开03表</w:t>
            </w:r>
          </w:p>
        </w:tc>
      </w:tr>
      <w:tr>
        <w:tblPrEx>
          <w:tblLayout w:type="fixed"/>
          <w:tblCellMar>
            <w:top w:w="0" w:type="dxa"/>
            <w:left w:w="0" w:type="dxa"/>
            <w:bottom w:w="0" w:type="dxa"/>
            <w:right w:w="0" w:type="dxa"/>
          </w:tblCellMar>
        </w:tblPrEx>
        <w:trPr>
          <w:trHeight w:val="342" w:hRule="atLeast"/>
        </w:trPr>
        <w:tc>
          <w:tcPr>
            <w:tcW w:w="51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bCs/>
                <w:color w:val="auto"/>
                <w:sz w:val="20"/>
                <w:szCs w:val="20"/>
              </w:rPr>
              <w:t>52.78</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bCs/>
                <w:color w:val="auto"/>
                <w:sz w:val="20"/>
                <w:szCs w:val="20"/>
              </w:rPr>
              <w:t>36.17</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bCs/>
                <w:color w:val="auto"/>
                <w:sz w:val="20"/>
                <w:szCs w:val="20"/>
              </w:rPr>
              <w:t>16.62</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43.45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32.08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11.37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28.32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28.32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2080109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社会保险经办机构</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28.32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28.32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3.76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3.76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2.50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2.50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1.25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1.25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6.54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6.54</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2081199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6.54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6.54</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特困人员救助供养</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4.83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4.83</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农村特困人员救助供养支出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4.83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4.83</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6.59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1.35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5.24</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1.35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1.35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1.35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1.35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医疗保障管理事务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5.24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5.24</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医疗保障政策管理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5.24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5.24</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2.74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2.74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2.74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b/>
                <w:color w:val="auto"/>
                <w:sz w:val="20"/>
                <w:szCs w:val="20"/>
              </w:rPr>
              <w:t>2.74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2.74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r>
              <w:rPr>
                <w:rFonts w:cs="宋体"/>
                <w:color w:val="auto"/>
                <w:sz w:val="20"/>
                <w:szCs w:val="20"/>
              </w:rPr>
              <w:t>2.74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color w:val="auto"/>
                <w:sz w:val="20"/>
                <w:szCs w:val="20"/>
                <w:lang w:eastAsia="zh-CN"/>
              </w:rPr>
            </w:pP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10"/>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4505"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cs="宋体"/>
                <w:color w:val="auto"/>
                <w:sz w:val="18"/>
                <w:szCs w:val="18"/>
              </w:rPr>
            </w:pPr>
            <w:r>
              <w:rPr>
                <w:rFonts w:cs="宋体"/>
                <w:color w:val="auto"/>
                <w:sz w:val="20"/>
                <w:szCs w:val="20"/>
              </w:rPr>
              <w:t>公开单位：</w:t>
            </w:r>
            <w:r>
              <w:rPr>
                <w:color w:val="auto"/>
                <w:sz w:val="20"/>
                <w:u w:color="auto"/>
              </w:rPr>
              <w:t>重庆市秀山土家族苗族自治县龙凤坝镇劳动就业和社会保障服务所</w:t>
            </w:r>
          </w:p>
        </w:tc>
        <w:tc>
          <w:tcPr>
            <w:tcW w:w="31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公开04表</w:t>
            </w:r>
          </w:p>
        </w:tc>
      </w:tr>
      <w:tr>
        <w:tblPrEx>
          <w:tblLayout w:type="fixed"/>
          <w:tblCellMar>
            <w:top w:w="0" w:type="dxa"/>
            <w:left w:w="0" w:type="dxa"/>
            <w:bottom w:w="0" w:type="dxa"/>
            <w:right w:w="0" w:type="dxa"/>
          </w:tblCellMar>
        </w:tblPrEx>
        <w:trPr>
          <w:trHeight w:val="90" w:hRule="atLeast"/>
        </w:trPr>
        <w:tc>
          <w:tcPr>
            <w:tcW w:w="4505"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52.78</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43.45</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43.45</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6.59</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6.59</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2.74</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2.74</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52.78</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52.78</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52.78</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52.78</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52.78</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52.78</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406"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公开单位：</w:t>
            </w:r>
            <w:r>
              <w:rPr>
                <w:color w:val="auto"/>
                <w:sz w:val="20"/>
                <w:u w:color="auto"/>
              </w:rPr>
              <w:t>重庆市秀山土家族苗族自治县龙凤坝镇劳动就业和社会保障服务所</w:t>
            </w: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公开05表</w:t>
            </w:r>
          </w:p>
        </w:tc>
      </w:tr>
      <w:tr>
        <w:tblPrEx>
          <w:tblLayout w:type="fixed"/>
          <w:tblCellMar>
            <w:top w:w="0" w:type="dxa"/>
            <w:left w:w="0" w:type="dxa"/>
            <w:bottom w:w="0" w:type="dxa"/>
            <w:right w:w="0" w:type="dxa"/>
          </w:tblCellMar>
        </w:tblPrEx>
        <w:trPr>
          <w:trHeight w:val="285" w:hRule="atLeast"/>
        </w:trPr>
        <w:tc>
          <w:tcPr>
            <w:tcW w:w="5406"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bCs/>
                <w:color w:val="auto"/>
                <w:sz w:val="20"/>
                <w:szCs w:val="20"/>
              </w:rPr>
              <w:t>52.78</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bCs/>
                <w:color w:val="auto"/>
                <w:sz w:val="20"/>
                <w:szCs w:val="20"/>
              </w:rPr>
              <w:t>36.17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bCs/>
                <w:color w:val="auto"/>
                <w:sz w:val="20"/>
                <w:szCs w:val="20"/>
              </w:rPr>
              <w:t>16.62</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43.45</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32.08</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11.37</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28.32</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28.32</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2080109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社会保险经办机构</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28.32</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28.32</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3.76</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3.76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2.50</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2.50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1.25</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1.25</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6.54</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6.54</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2081199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6.54</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6.54</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特困人员救助供养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4.83</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4.83</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农村特困人员救助供养支出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4.83</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4.83</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6.59</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1.35</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5.24</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1.35</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1.35</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1.35</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1.35</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医疗保障管理事务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5.24</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5.24</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医疗保障政策管理</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5.24</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5.24</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2.74</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2.74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2.74</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b/>
                <w:color w:val="auto"/>
                <w:sz w:val="20"/>
                <w:szCs w:val="20"/>
              </w:rPr>
              <w:t>2.74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2.74</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r>
              <w:rPr>
                <w:rFonts w:cs="宋体"/>
                <w:color w:val="auto"/>
                <w:sz w:val="20"/>
                <w:szCs w:val="20"/>
              </w:rPr>
              <w:t>2.74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p>
    <w:tbl>
      <w:tblPr>
        <w:tblStyle w:val="10"/>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345"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cs="宋体"/>
                <w:color w:val="auto"/>
                <w:sz w:val="18"/>
                <w:szCs w:val="18"/>
              </w:rPr>
            </w:pPr>
            <w:r>
              <w:rPr>
                <w:rFonts w:cs="宋体"/>
                <w:color w:val="auto"/>
                <w:sz w:val="20"/>
                <w:szCs w:val="20"/>
              </w:rPr>
              <w:t>公开单位：</w:t>
            </w:r>
            <w:r>
              <w:rPr>
                <w:color w:val="auto"/>
                <w:sz w:val="20"/>
                <w:u w:color="auto"/>
              </w:rPr>
              <w:t>重庆市秀山土家族苗族自治县龙凤坝镇劳动就业和社会保障服务所</w:t>
            </w:r>
          </w:p>
        </w:tc>
        <w:tc>
          <w:tcPr>
            <w:tcW w:w="137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公开06表</w:t>
            </w:r>
          </w:p>
        </w:tc>
      </w:tr>
      <w:tr>
        <w:tblPrEx>
          <w:tblLayout w:type="fixed"/>
          <w:tblCellMar>
            <w:top w:w="0" w:type="dxa"/>
            <w:left w:w="0" w:type="dxa"/>
            <w:bottom w:w="0" w:type="dxa"/>
            <w:right w:w="0" w:type="dxa"/>
          </w:tblCellMar>
        </w:tblPrEx>
        <w:trPr>
          <w:trHeight w:val="90" w:hRule="atLeast"/>
        </w:trPr>
        <w:tc>
          <w:tcPr>
            <w:tcW w:w="3345"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37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33.19</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2.97</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7.81</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0.87</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2.42</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14.76</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2.50</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1.25</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0.62</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1.35</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0.04</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2.74</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0.32</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1.41</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0.08</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auto"/>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eastAsia" w:eastAsia="宋体" w:cs="宋体"/>
                <w:color w:val="auto"/>
                <w:sz w:val="18"/>
                <w:szCs w:val="18"/>
                <w:lang w:eastAsia="zh-CN"/>
              </w:rPr>
            </w:pPr>
            <w:r>
              <w:rPr>
                <w:rFonts w:cs="宋体"/>
                <w:color w:val="auto"/>
                <w:sz w:val="18"/>
                <w:szCs w:val="18"/>
              </w:rPr>
              <w:t>33.19</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eastAsia" w:eastAsia="宋体" w:cs="宋体"/>
                <w:color w:val="auto"/>
                <w:sz w:val="18"/>
                <w:szCs w:val="18"/>
                <w:lang w:eastAsia="zh-CN"/>
              </w:rPr>
            </w:pPr>
            <w:r>
              <w:rPr>
                <w:rFonts w:cs="宋体"/>
                <w:color w:val="auto"/>
                <w:sz w:val="18"/>
                <w:szCs w:val="18"/>
              </w:rPr>
              <w:t>2.97</w:t>
            </w:r>
          </w:p>
        </w:tc>
      </w:tr>
    </w:tbl>
    <w:p>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公开单位：</w:t>
            </w:r>
            <w:r>
              <w:rPr>
                <w:color w:val="auto"/>
                <w:sz w:val="20"/>
                <w:u w:color="auto"/>
              </w:rPr>
              <w:t>重庆市秀山土家族苗族自治县龙凤坝镇劳动就业和社会保障服务所</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公开07表</w:t>
            </w:r>
          </w:p>
        </w:tc>
      </w:tr>
      <w:tr>
        <w:tblPrEx>
          <w:tblLayout w:type="fixed"/>
          <w:tblCellMar>
            <w:top w:w="0" w:type="dxa"/>
            <w:left w:w="0" w:type="dxa"/>
            <w:bottom w:w="0" w:type="dxa"/>
            <w:right w:w="0" w:type="dxa"/>
          </w:tblCellMar>
        </w:tblPrEx>
        <w:trPr>
          <w:trHeight w:val="329"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10"/>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公开单位：</w:t>
            </w:r>
            <w:r>
              <w:rPr>
                <w:color w:val="auto"/>
                <w:sz w:val="20"/>
                <w:u w:color="auto"/>
              </w:rPr>
              <w:t>重庆市秀山土家族苗族自治县龙凤坝镇劳动就业和社会保障服务所</w:t>
            </w:r>
          </w:p>
        </w:tc>
        <w:tc>
          <w:tcPr>
            <w:tcW w:w="32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公开08表</w:t>
            </w:r>
          </w:p>
        </w:tc>
      </w:tr>
      <w:tr>
        <w:tblPrEx>
          <w:tblLayout w:type="fixed"/>
          <w:tblCellMar>
            <w:top w:w="0" w:type="dxa"/>
            <w:left w:w="0" w:type="dxa"/>
            <w:bottom w:w="0" w:type="dxa"/>
            <w:right w:w="0" w:type="dxa"/>
          </w:tblCellMar>
        </w:tblPrEx>
        <w:trPr>
          <w:trHeight w:val="332"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2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auto"/>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eastAsia="宋体" w:cs="宋体"/>
                <w:b/>
                <w:color w:val="auto"/>
                <w:sz w:val="20"/>
                <w:szCs w:val="20"/>
                <w:lang w:eastAsia="zh-CN"/>
              </w:rPr>
            </w:pP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10"/>
        <w:tblW w:w="15378" w:type="dxa"/>
        <w:tblInd w:w="0" w:type="dxa"/>
        <w:tblLayout w:type="fixed"/>
        <w:tblCellMar>
          <w:top w:w="0" w:type="dxa"/>
          <w:left w:w="0" w:type="dxa"/>
          <w:bottom w:w="0" w:type="dxa"/>
          <w:right w:w="0" w:type="dxa"/>
        </w:tblCellMar>
      </w:tblPr>
      <w:tblGrid>
        <w:gridCol w:w="4167"/>
        <w:gridCol w:w="2236"/>
        <w:gridCol w:w="2184"/>
        <w:gridCol w:w="4660"/>
        <w:gridCol w:w="2131"/>
      </w:tblGrid>
      <w:tr>
        <w:tblPrEx>
          <w:tblLayout w:type="fixed"/>
          <w:tblCellMar>
            <w:top w:w="0" w:type="dxa"/>
            <w:left w:w="0" w:type="dxa"/>
            <w:bottom w:w="0" w:type="dxa"/>
            <w:right w:w="0" w:type="dxa"/>
          </w:tblCellMar>
        </w:tblPrEx>
        <w:trPr>
          <w:trHeight w:val="175"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机构运行信息表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auto"/>
                <w:sz w:val="20"/>
                <w:szCs w:val="20"/>
              </w:rPr>
            </w:pPr>
          </w:p>
        </w:tc>
        <w:tc>
          <w:tcPr>
            <w:tcW w:w="223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cs="宋体"/>
                <w:color w:val="auto"/>
                <w:sz w:val="20"/>
                <w:szCs w:val="20"/>
              </w:rPr>
            </w:pPr>
          </w:p>
        </w:tc>
        <w:tc>
          <w:tcPr>
            <w:tcW w:w="218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cs="宋体"/>
                <w:color w:val="auto"/>
                <w:sz w:val="20"/>
                <w:szCs w:val="20"/>
              </w:rPr>
            </w:pPr>
          </w:p>
        </w:tc>
        <w:tc>
          <w:tcPr>
            <w:tcW w:w="4660"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auto"/>
                <w:sz w:val="20"/>
                <w:szCs w:val="20"/>
              </w:rPr>
            </w:pPr>
          </w:p>
        </w:tc>
        <w:tc>
          <w:tcPr>
            <w:tcW w:w="21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公开09表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textAlignment w:val="bottom"/>
              <w:rPr>
                <w:rFonts w:hint="default" w:cs="宋体"/>
                <w:color w:val="auto"/>
                <w:sz w:val="20"/>
                <w:szCs w:val="20"/>
              </w:rPr>
            </w:pPr>
            <w:r>
              <w:rPr>
                <w:rFonts w:cs="宋体"/>
                <w:color w:val="auto"/>
                <w:sz w:val="20"/>
                <w:szCs w:val="20"/>
              </w:rPr>
              <w:t>公开单位：</w:t>
            </w:r>
            <w:r>
              <w:rPr>
                <w:color w:val="auto"/>
                <w:sz w:val="20"/>
                <w:u w:color="auto"/>
              </w:rPr>
              <w:t>重庆市秀山土家族苗族自治县龙凤坝镇劳动就业和社会保障服务所</w:t>
            </w:r>
          </w:p>
        </w:tc>
        <w:tc>
          <w:tcPr>
            <w:tcW w:w="223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center"/>
              <w:rPr>
                <w:rFonts w:hint="default" w:cs="宋体"/>
                <w:color w:val="auto"/>
                <w:sz w:val="20"/>
                <w:szCs w:val="20"/>
              </w:rPr>
            </w:pPr>
          </w:p>
        </w:tc>
        <w:tc>
          <w:tcPr>
            <w:tcW w:w="218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sz w:val="20"/>
                <w:szCs w:val="20"/>
              </w:rPr>
            </w:pPr>
          </w:p>
        </w:tc>
        <w:tc>
          <w:tcPr>
            <w:tcW w:w="46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sz w:val="20"/>
                <w:szCs w:val="20"/>
              </w:rPr>
            </w:pPr>
          </w:p>
        </w:tc>
        <w:tc>
          <w:tcPr>
            <w:tcW w:w="213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223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预算数</w:t>
            </w:r>
          </w:p>
        </w:tc>
        <w:tc>
          <w:tcPr>
            <w:tcW w:w="218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213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一、“三公”经费支出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四、机关运行经费</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（一）支出合计</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（一）行政单位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1．因公出国（境）费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（二）参照公务员法管理事业单位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2．公务用车购置及运行维护费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五、资产信息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（1）公务用车购置费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（一）车辆数合计（辆）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（2）公务用车运行维护费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1．副部（省）级及以上领导用车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3．公务接待费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2．主要领导干部用车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（1）国内接待费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3．机要通信用车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其中：外事接待费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4．应急保障用车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（2）国（境）外接待费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5．执法执勤用车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（二）相关统计数</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6．特种专业技术用车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1．因公出国（境）团组数（个）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7．离退休干部用车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2．因公出国（境）人次数（人）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8．其他用车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3．公务用车购置数（辆）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（二）单价100万元（含）以上设备（不含车辆）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4．公务用车保有量（辆）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六、政府采购支出信息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5．国内公务接待批次（个）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（一）政府采购支出合计</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其中：外事接待批次（个）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1．政府采购货物支出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6．国内公务接待人次（人）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2．政府采购工程支出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其中：外事接待人次（人）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3．政府采购服务支出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7．国（境）外公务接待批次（个）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（二）政府采购授予中小企业合同金额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8．国（境）外公务接待人次（人）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其中：授予小微企业合同金额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r>
      <w:tr>
        <w:tblPrEx>
          <w:tblLayout w:type="fixed"/>
          <w:tblCellMar>
            <w:top w:w="0" w:type="dxa"/>
            <w:left w:w="0" w:type="dxa"/>
            <w:bottom w:w="0" w:type="dxa"/>
            <w:right w:w="0" w:type="dxa"/>
          </w:tblCellMar>
        </w:tblPrEx>
        <w:trPr>
          <w:trHeight w:val="269"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二、会议费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cs="宋体"/>
                <w:color w:val="auto"/>
                <w:sz w:val="20"/>
                <w:szCs w:val="20"/>
              </w:rPr>
            </w:pPr>
          </w:p>
        </w:tc>
      </w:tr>
      <w:tr>
        <w:tblPrEx>
          <w:tblLayout w:type="fixed"/>
          <w:tblCellMar>
            <w:top w:w="0" w:type="dxa"/>
            <w:left w:w="0" w:type="dxa"/>
            <w:bottom w:w="0" w:type="dxa"/>
            <w:right w:w="0" w:type="dxa"/>
          </w:tblCellMar>
        </w:tblPrEx>
        <w:trPr>
          <w:trHeight w:val="24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三、培训费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eastAsia" w:eastAsia="宋体" w:cs="宋体"/>
                <w:color w:val="auto"/>
                <w:sz w:val="20"/>
                <w:szCs w:val="20"/>
                <w:lang w:eastAsia="zh-CN"/>
              </w:rPr>
            </w:pP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cs="宋体"/>
                <w:color w:val="auto"/>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cs="宋体"/>
                <w:color w:val="auto"/>
                <w:sz w:val="20"/>
                <w:szCs w:val="20"/>
              </w:rPr>
            </w:pPr>
          </w:p>
        </w:tc>
      </w:tr>
    </w:tbl>
    <w:p>
      <w:pPr>
        <w:rPr>
          <w:rFonts w:cs="宋体"/>
          <w:color w:val="auto"/>
          <w:sz w:val="21"/>
          <w:szCs w:val="21"/>
        </w:rPr>
      </w:pPr>
      <w:r>
        <w:rPr>
          <w:rFonts w:cs="宋体"/>
          <w:color w:val="auto"/>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20"/>
          <w:szCs w:val="20"/>
        </w:rPr>
        <w:br w:type="textWrapping"/>
      </w:r>
      <w:r>
        <w:rPr>
          <w:rFonts w:cs="宋体"/>
          <w:color w:val="auto"/>
          <w:sz w:val="20"/>
          <w:szCs w:val="20"/>
        </w:rPr>
        <w:t>2.本套报表金额单位转换时可能存在尾数误差。</w:t>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60C7F"/>
    <w:rsid w:val="002B254B"/>
    <w:rsid w:val="00550ABE"/>
    <w:rsid w:val="00770383"/>
    <w:rsid w:val="007819D4"/>
    <w:rsid w:val="007B419D"/>
    <w:rsid w:val="009B67B8"/>
    <w:rsid w:val="009D2B67"/>
    <w:rsid w:val="00B03CCD"/>
    <w:rsid w:val="00C20C3E"/>
    <w:rsid w:val="00C45ADC"/>
    <w:rsid w:val="00C60768"/>
    <w:rsid w:val="00F73F90"/>
    <w:rsid w:val="01474EBF"/>
    <w:rsid w:val="01F3521E"/>
    <w:rsid w:val="03B87EA0"/>
    <w:rsid w:val="03E3214F"/>
    <w:rsid w:val="044C50BA"/>
    <w:rsid w:val="05BC6D49"/>
    <w:rsid w:val="06194FF1"/>
    <w:rsid w:val="06A2550B"/>
    <w:rsid w:val="06F80EE2"/>
    <w:rsid w:val="07001CCA"/>
    <w:rsid w:val="075678DB"/>
    <w:rsid w:val="075E3D80"/>
    <w:rsid w:val="079D7CC7"/>
    <w:rsid w:val="08051BCA"/>
    <w:rsid w:val="08651325"/>
    <w:rsid w:val="086C12F4"/>
    <w:rsid w:val="08705944"/>
    <w:rsid w:val="08BA052C"/>
    <w:rsid w:val="08C24084"/>
    <w:rsid w:val="08DB07BA"/>
    <w:rsid w:val="08FA5E7E"/>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9C33453"/>
    <w:rsid w:val="1AF71432"/>
    <w:rsid w:val="1B6F15B6"/>
    <w:rsid w:val="1BAA2EDC"/>
    <w:rsid w:val="1CA55E64"/>
    <w:rsid w:val="1CE371F4"/>
    <w:rsid w:val="1D014A01"/>
    <w:rsid w:val="1D022362"/>
    <w:rsid w:val="1D1B04B0"/>
    <w:rsid w:val="1D5F6387"/>
    <w:rsid w:val="1DA52501"/>
    <w:rsid w:val="1DBD6767"/>
    <w:rsid w:val="1DC52125"/>
    <w:rsid w:val="1DD26311"/>
    <w:rsid w:val="1DF01F0D"/>
    <w:rsid w:val="1E374ACB"/>
    <w:rsid w:val="1ECF0A66"/>
    <w:rsid w:val="1EF67CA4"/>
    <w:rsid w:val="1F020D3A"/>
    <w:rsid w:val="1F2C5189"/>
    <w:rsid w:val="1F4B0B02"/>
    <w:rsid w:val="1FBB35CD"/>
    <w:rsid w:val="1FCD26AF"/>
    <w:rsid w:val="20642787"/>
    <w:rsid w:val="21556F04"/>
    <w:rsid w:val="22403BD3"/>
    <w:rsid w:val="224129FD"/>
    <w:rsid w:val="2339590A"/>
    <w:rsid w:val="24B92327"/>
    <w:rsid w:val="24C14514"/>
    <w:rsid w:val="24DB4C67"/>
    <w:rsid w:val="2533755C"/>
    <w:rsid w:val="25791755"/>
    <w:rsid w:val="260E0C5B"/>
    <w:rsid w:val="26396DF4"/>
    <w:rsid w:val="2669307F"/>
    <w:rsid w:val="26AE057C"/>
    <w:rsid w:val="27143340"/>
    <w:rsid w:val="27167136"/>
    <w:rsid w:val="271B442C"/>
    <w:rsid w:val="27B23302"/>
    <w:rsid w:val="282F477B"/>
    <w:rsid w:val="29310A5F"/>
    <w:rsid w:val="299F1D59"/>
    <w:rsid w:val="29C37A35"/>
    <w:rsid w:val="2A076083"/>
    <w:rsid w:val="2A73162E"/>
    <w:rsid w:val="2B167953"/>
    <w:rsid w:val="2B200583"/>
    <w:rsid w:val="2B8209DE"/>
    <w:rsid w:val="2C636760"/>
    <w:rsid w:val="2C6762A3"/>
    <w:rsid w:val="2F6C5BC2"/>
    <w:rsid w:val="2FCA4B37"/>
    <w:rsid w:val="2FE029D7"/>
    <w:rsid w:val="2FF06E00"/>
    <w:rsid w:val="30135B11"/>
    <w:rsid w:val="30586FEC"/>
    <w:rsid w:val="305D4F51"/>
    <w:rsid w:val="315F0B22"/>
    <w:rsid w:val="31A81B45"/>
    <w:rsid w:val="31D84415"/>
    <w:rsid w:val="32273DD8"/>
    <w:rsid w:val="32285F6F"/>
    <w:rsid w:val="32770556"/>
    <w:rsid w:val="329C0913"/>
    <w:rsid w:val="32AA0460"/>
    <w:rsid w:val="3337290D"/>
    <w:rsid w:val="33E31118"/>
    <w:rsid w:val="33EF7674"/>
    <w:rsid w:val="342D7BC6"/>
    <w:rsid w:val="352930DB"/>
    <w:rsid w:val="355072A5"/>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A90693"/>
    <w:rsid w:val="3EC8790C"/>
    <w:rsid w:val="3F032E93"/>
    <w:rsid w:val="3F0527E5"/>
    <w:rsid w:val="3F694D83"/>
    <w:rsid w:val="3F885DCC"/>
    <w:rsid w:val="3FCD675E"/>
    <w:rsid w:val="4004000C"/>
    <w:rsid w:val="408E6B4F"/>
    <w:rsid w:val="40BD5482"/>
    <w:rsid w:val="411B6CE5"/>
    <w:rsid w:val="412070D7"/>
    <w:rsid w:val="41314E40"/>
    <w:rsid w:val="41565735"/>
    <w:rsid w:val="41E0734B"/>
    <w:rsid w:val="41E9755E"/>
    <w:rsid w:val="426C1EA8"/>
    <w:rsid w:val="42736402"/>
    <w:rsid w:val="427D769F"/>
    <w:rsid w:val="42E86A87"/>
    <w:rsid w:val="43307B09"/>
    <w:rsid w:val="43965637"/>
    <w:rsid w:val="439A3EB9"/>
    <w:rsid w:val="43BB152F"/>
    <w:rsid w:val="44C37687"/>
    <w:rsid w:val="44DF42AF"/>
    <w:rsid w:val="45CB699A"/>
    <w:rsid w:val="465B470D"/>
    <w:rsid w:val="469D6AD4"/>
    <w:rsid w:val="471E6C84"/>
    <w:rsid w:val="4748792B"/>
    <w:rsid w:val="475D719D"/>
    <w:rsid w:val="47674801"/>
    <w:rsid w:val="48225EF7"/>
    <w:rsid w:val="488F422B"/>
    <w:rsid w:val="48E36915"/>
    <w:rsid w:val="48E43812"/>
    <w:rsid w:val="48EB6572"/>
    <w:rsid w:val="495C4A24"/>
    <w:rsid w:val="497135DF"/>
    <w:rsid w:val="49EA16E3"/>
    <w:rsid w:val="4A263DF2"/>
    <w:rsid w:val="4A6F6675"/>
    <w:rsid w:val="4AAB76DC"/>
    <w:rsid w:val="4B020BB8"/>
    <w:rsid w:val="4B135857"/>
    <w:rsid w:val="4B7951CB"/>
    <w:rsid w:val="4B7C315C"/>
    <w:rsid w:val="4BE31A5D"/>
    <w:rsid w:val="4DAC4ACA"/>
    <w:rsid w:val="4DBE01D2"/>
    <w:rsid w:val="4E867D56"/>
    <w:rsid w:val="4F0C6BA3"/>
    <w:rsid w:val="4F186D58"/>
    <w:rsid w:val="4F7E25CB"/>
    <w:rsid w:val="50F06B6E"/>
    <w:rsid w:val="5180259C"/>
    <w:rsid w:val="51D21804"/>
    <w:rsid w:val="52234D33"/>
    <w:rsid w:val="522F6E0C"/>
    <w:rsid w:val="52463BA1"/>
    <w:rsid w:val="52F163D4"/>
    <w:rsid w:val="531A2DB4"/>
    <w:rsid w:val="53C0244D"/>
    <w:rsid w:val="53DD4D4E"/>
    <w:rsid w:val="53E578CE"/>
    <w:rsid w:val="5412547B"/>
    <w:rsid w:val="541330F0"/>
    <w:rsid w:val="54272666"/>
    <w:rsid w:val="543B029D"/>
    <w:rsid w:val="54861779"/>
    <w:rsid w:val="552256E1"/>
    <w:rsid w:val="554E5773"/>
    <w:rsid w:val="555A3CBC"/>
    <w:rsid w:val="5582012B"/>
    <w:rsid w:val="558E4E05"/>
    <w:rsid w:val="55BE2E85"/>
    <w:rsid w:val="56530F5D"/>
    <w:rsid w:val="567700D3"/>
    <w:rsid w:val="56855C6F"/>
    <w:rsid w:val="56FF7E9E"/>
    <w:rsid w:val="578867FC"/>
    <w:rsid w:val="5842572D"/>
    <w:rsid w:val="5A3B59D6"/>
    <w:rsid w:val="5AB75E31"/>
    <w:rsid w:val="5AD134D8"/>
    <w:rsid w:val="5B6A2349"/>
    <w:rsid w:val="5C263CE4"/>
    <w:rsid w:val="5C5D2777"/>
    <w:rsid w:val="5C9265D6"/>
    <w:rsid w:val="5CF66BF3"/>
    <w:rsid w:val="5D290C69"/>
    <w:rsid w:val="5D961326"/>
    <w:rsid w:val="5F2D4A41"/>
    <w:rsid w:val="5F3D305B"/>
    <w:rsid w:val="60C74F6C"/>
    <w:rsid w:val="61025A59"/>
    <w:rsid w:val="613D5BBC"/>
    <w:rsid w:val="61536C39"/>
    <w:rsid w:val="615A72D3"/>
    <w:rsid w:val="622B09C2"/>
    <w:rsid w:val="62944DD7"/>
    <w:rsid w:val="6319381F"/>
    <w:rsid w:val="63C25DC5"/>
    <w:rsid w:val="63C62057"/>
    <w:rsid w:val="644739A0"/>
    <w:rsid w:val="64571EF5"/>
    <w:rsid w:val="64FB113D"/>
    <w:rsid w:val="656152C6"/>
    <w:rsid w:val="6587477F"/>
    <w:rsid w:val="658C3A08"/>
    <w:rsid w:val="65C031CA"/>
    <w:rsid w:val="65CE6852"/>
    <w:rsid w:val="66267C04"/>
    <w:rsid w:val="663F505A"/>
    <w:rsid w:val="66EE5541"/>
    <w:rsid w:val="67924660"/>
    <w:rsid w:val="68407834"/>
    <w:rsid w:val="68436DF2"/>
    <w:rsid w:val="6883293E"/>
    <w:rsid w:val="688412AD"/>
    <w:rsid w:val="68EB1B71"/>
    <w:rsid w:val="68EE7FEE"/>
    <w:rsid w:val="6A6C7940"/>
    <w:rsid w:val="6AAD2300"/>
    <w:rsid w:val="6B474EF5"/>
    <w:rsid w:val="6C0A5AC5"/>
    <w:rsid w:val="6C560CAE"/>
    <w:rsid w:val="6C576495"/>
    <w:rsid w:val="6D903FF5"/>
    <w:rsid w:val="6DA955B8"/>
    <w:rsid w:val="6DE346AB"/>
    <w:rsid w:val="6DE5391A"/>
    <w:rsid w:val="6EFD1324"/>
    <w:rsid w:val="6F2820D4"/>
    <w:rsid w:val="6F5A53AC"/>
    <w:rsid w:val="6FA82964"/>
    <w:rsid w:val="6FAC003D"/>
    <w:rsid w:val="6FE55E12"/>
    <w:rsid w:val="6FFB2E76"/>
    <w:rsid w:val="708F6F7F"/>
    <w:rsid w:val="70D94BD3"/>
    <w:rsid w:val="71C34D91"/>
    <w:rsid w:val="72DB435C"/>
    <w:rsid w:val="72E2613A"/>
    <w:rsid w:val="72F771F4"/>
    <w:rsid w:val="73934AD2"/>
    <w:rsid w:val="744E3D95"/>
    <w:rsid w:val="750837F0"/>
    <w:rsid w:val="754758CF"/>
    <w:rsid w:val="764F62AB"/>
    <w:rsid w:val="765C45EC"/>
    <w:rsid w:val="768A7619"/>
    <w:rsid w:val="772E1EBA"/>
    <w:rsid w:val="773B104D"/>
    <w:rsid w:val="781926BC"/>
    <w:rsid w:val="796D60A4"/>
    <w:rsid w:val="79A031D5"/>
    <w:rsid w:val="79ED0AD8"/>
    <w:rsid w:val="7A1525F7"/>
    <w:rsid w:val="7A2D64A6"/>
    <w:rsid w:val="7A980F63"/>
    <w:rsid w:val="7B1B019C"/>
    <w:rsid w:val="7B420052"/>
    <w:rsid w:val="7BD06A28"/>
    <w:rsid w:val="7C3A7C0B"/>
    <w:rsid w:val="7C5248E4"/>
    <w:rsid w:val="7C566698"/>
    <w:rsid w:val="7C5866A3"/>
    <w:rsid w:val="7D7406BB"/>
    <w:rsid w:val="7DC03D28"/>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character" w:customStyle="1" w:styleId="17">
    <w:name w:val="font61"/>
    <w:basedOn w:val="8"/>
    <w:qFormat/>
    <w:uiPriority w:val="0"/>
    <w:rPr>
      <w:rFonts w:ascii="方正仿宋_GBK" w:hAnsi="方正仿宋_GBK" w:eastAsia="方正仿宋_GBK" w:cs="方正仿宋_GBK"/>
      <w:b/>
      <w:color w:val="000000"/>
      <w:sz w:val="22"/>
      <w:szCs w:val="22"/>
      <w:u w:val="none"/>
    </w:rPr>
  </w:style>
  <w:style w:type="character" w:customStyle="1" w:styleId="18">
    <w:name w:val="font71"/>
    <w:basedOn w:val="8"/>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0</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2024-09-18T04:50:45Z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