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0"/>
          <w:szCs w:val="40"/>
          <w:lang w:eastAsia="zh-CN"/>
        </w:rPr>
      </w:pPr>
      <w:r>
        <w:rPr>
          <w:rFonts w:hint="eastAsia" w:ascii="Times New Roman" w:hAnsi="Times New Roman" w:eastAsia="方正小标宋_GBK" w:cs="Times New Roman"/>
          <w:sz w:val="40"/>
          <w:szCs w:val="40"/>
          <w:lang w:eastAsia="zh-CN"/>
        </w:rPr>
        <w:t>重庆市</w:t>
      </w:r>
      <w:r>
        <w:rPr>
          <w:rFonts w:hint="default" w:ascii="Times New Roman" w:hAnsi="Times New Roman" w:eastAsia="方正小标宋_GBK" w:cs="Times New Roman"/>
          <w:sz w:val="40"/>
          <w:szCs w:val="40"/>
          <w:lang w:eastAsia="zh-CN"/>
        </w:rPr>
        <w:t>秀山土家族苗族自治县项目服务中心2023年度决算公开说明</w:t>
      </w:r>
    </w:p>
    <w:p>
      <w:pPr>
        <w:pStyle w:val="7"/>
        <w:keepNext w:val="0"/>
        <w:keepLines w:val="0"/>
        <w:pageBreakBefore w:val="0"/>
        <w:widowControl/>
        <w:kinsoku/>
        <w:overflowPunct/>
        <w:topLinePunct w:val="0"/>
        <w:autoSpaceDN/>
        <w:bidi w:val="0"/>
        <w:adjustRightInd/>
        <w:spacing w:before="0" w:beforeAutospacing="0" w:after="0" w:afterAutospacing="0" w:line="560" w:lineRule="exact"/>
        <w:jc w:val="both"/>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9"/>
          <w:rFonts w:hint="default" w:ascii="Times New Roman" w:hAnsi="Times New Roman" w:eastAsia="方正黑体_GBK" w:cs="Times New Roman"/>
          <w:b w:val="0"/>
          <w:bCs/>
          <w:sz w:val="32"/>
          <w:szCs w:val="32"/>
          <w:shd w:val="clear" w:color="auto" w:fill="FFFFFF"/>
        </w:rPr>
        <w:t>一、</w:t>
      </w:r>
      <w:r>
        <w:rPr>
          <w:rStyle w:val="9"/>
          <w:rFonts w:hint="default" w:ascii="Times New Roman" w:hAnsi="Times New Roman" w:eastAsia="方正黑体_GBK" w:cs="Times New Roman"/>
          <w:b w:val="0"/>
          <w:bCs/>
          <w:sz w:val="32"/>
          <w:szCs w:val="32"/>
          <w:shd w:val="clear" w:color="auto" w:fill="FFFFFF"/>
          <w:lang w:val="en-US" w:eastAsia="zh-CN"/>
        </w:rPr>
        <w:t>单位</w:t>
      </w:r>
      <w:r>
        <w:rPr>
          <w:rStyle w:val="9"/>
          <w:rFonts w:hint="default" w:ascii="Times New Roman" w:hAnsi="Times New Roman" w:eastAsia="方正黑体_GBK" w:cs="Times New Roman"/>
          <w:b w:val="0"/>
          <w:bCs/>
          <w:sz w:val="32"/>
          <w:szCs w:val="32"/>
          <w:shd w:val="clear" w:color="auto" w:fill="FFFFFF"/>
        </w:rPr>
        <w:t>基本情况</w:t>
      </w:r>
      <w:bookmarkStart w:id="0" w:name="_GoBack"/>
      <w:bookmarkEnd w:id="0"/>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9"/>
          <w:rFonts w:hint="default" w:ascii="Times New Roman" w:hAnsi="Times New Roman" w:eastAsia="方正楷体_GBK" w:cs="Times New Roman"/>
          <w:b w:val="0"/>
          <w:bCs/>
          <w:sz w:val="32"/>
          <w:szCs w:val="32"/>
          <w:shd w:val="clear" w:color="auto" w:fill="FFFFFF"/>
        </w:rPr>
        <w:t>（一）职能职责</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1.</w:t>
      </w:r>
      <w:r>
        <w:rPr>
          <w:rFonts w:hint="default" w:ascii="Times New Roman" w:hAnsi="Times New Roman" w:eastAsia="方正仿宋_GBK" w:cs="Times New Roman"/>
          <w:sz w:val="32"/>
          <w:szCs w:val="32"/>
          <w:lang w:val="en-US" w:eastAsia="zh-CN"/>
        </w:rPr>
        <w:t>负责统筹、调度和督促重大项目。负责重大项目的政策制定、目标考核、统计和信息发布、监督检查等工作。组织开展县级重点项目滚动储备，拟订年度</w:t>
      </w:r>
      <w:r>
        <w:rPr>
          <w:rFonts w:hint="default" w:ascii="Times New Roman" w:hAnsi="Times New Roman" w:eastAsia="方正仿宋_GBK" w:cs="Times New Roman"/>
          <w:sz w:val="32"/>
          <w:szCs w:val="32"/>
          <w:highlight w:val="none"/>
          <w:u w:val="none"/>
          <w:lang w:val="en-US" w:eastAsia="zh-CN"/>
        </w:rPr>
        <w:t>市县两级</w:t>
      </w:r>
      <w:r>
        <w:rPr>
          <w:rFonts w:hint="default" w:ascii="Times New Roman" w:hAnsi="Times New Roman" w:eastAsia="方正仿宋_GBK" w:cs="Times New Roman"/>
          <w:sz w:val="32"/>
          <w:szCs w:val="32"/>
          <w:lang w:val="en-US" w:eastAsia="zh-CN"/>
        </w:rPr>
        <w:t>重点项目名单。县委、县政府交办的重大项目前期工作等任务。</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b w:val="0"/>
          <w:bCs/>
          <w:color w:val="auto"/>
          <w:kern w:val="0"/>
          <w:sz w:val="32"/>
          <w:szCs w:val="32"/>
          <w:highlight w:val="none"/>
          <w:u w:val="none"/>
          <w:lang w:val="en-US" w:eastAsia="zh-CN" w:bidi="ar-SA"/>
        </w:rPr>
        <w:t>负责对政府投资项目的可研或节能、概算进行评估；负责对企业投资项目核准报告进行评估；负责对国有企业投资的备案项目进行投资控制评估；开展项目投资分析及后评价工作。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重庆</w:t>
      </w:r>
      <w:r>
        <w:rPr>
          <w:rFonts w:hint="default" w:ascii="Times New Roman" w:hAnsi="Times New Roman" w:eastAsia="方正仿宋_GBK" w:cs="Times New Roman"/>
          <w:kern w:val="2"/>
          <w:sz w:val="32"/>
          <w:szCs w:val="32"/>
          <w:lang w:val="en-US" w:eastAsia="zh-CN" w:bidi="ar-SA"/>
        </w:rPr>
        <w:t>市秀山土家族苗</w:t>
      </w:r>
      <w:r>
        <w:rPr>
          <w:rFonts w:hint="default" w:ascii="Times New Roman" w:hAnsi="Times New Roman" w:eastAsia="方正仿宋_GBK" w:cs="Times New Roman"/>
          <w:color w:val="000000"/>
          <w:kern w:val="0"/>
          <w:sz w:val="32"/>
          <w:szCs w:val="32"/>
          <w:lang w:val="en-US" w:eastAsia="zh-CN" w:bidi="ar-SA"/>
        </w:rPr>
        <w:t>族自治县项目服务中心为秀山县发展改革委管理的公益一类正科级事业单位，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个职能科室，分别是：</w:t>
      </w:r>
      <w:r>
        <w:rPr>
          <w:rFonts w:hint="default" w:ascii="Times New Roman" w:hAnsi="Times New Roman" w:eastAsia="方正仿宋_GBK" w:cs="Times New Roman"/>
          <w:kern w:val="2"/>
          <w:sz w:val="32"/>
          <w:szCs w:val="32"/>
          <w:lang w:val="en-US" w:eastAsia="zh-CN" w:bidi="ar-SA"/>
        </w:rPr>
        <w:t>项目储备科、项目调度科、项目督查科、项目评审科、项目评价科。</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单位</w:t>
      </w:r>
      <w:r>
        <w:rPr>
          <w:rStyle w:val="9"/>
          <w:rFonts w:hint="default" w:ascii="Times New Roman" w:hAnsi="Times New Roman" w:eastAsia="方正黑体_GBK" w:cs="Times New Roman"/>
          <w:b w:val="0"/>
          <w:bCs/>
          <w:sz w:val="32"/>
          <w:szCs w:val="32"/>
          <w:shd w:val="clear" w:color="auto" w:fill="FFFFFF"/>
        </w:rPr>
        <w:t>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2023年度收入总计355.24万元，支出总计</w:t>
      </w:r>
      <w:r>
        <w:rPr>
          <w:rFonts w:hint="default" w:ascii="Times New Roman" w:hAnsi="Times New Roman" w:eastAsia="方正仿宋_GBK" w:cs="Times New Roman"/>
          <w:sz w:val="32"/>
          <w:szCs w:val="32"/>
        </w:rPr>
        <w:t>355.24</w:t>
      </w:r>
      <w:r>
        <w:rPr>
          <w:rFonts w:hint="default" w:ascii="Times New Roman" w:hAnsi="Times New Roman" w:eastAsia="方正仿宋_GBK" w:cs="Times New Roman"/>
          <w:sz w:val="32"/>
          <w:szCs w:val="32"/>
          <w:shd w:val="clear" w:color="auto" w:fill="FFFFFF"/>
        </w:rPr>
        <w:t>万元。收支较上年决算数增加355.24万元，增长100.00%，主要原因是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w:t>
      </w:r>
      <w:r>
        <w:rPr>
          <w:rFonts w:hint="default" w:ascii="Times New Roman" w:hAnsi="Times New Roman" w:eastAsia="方正仿宋_GBK" w:cs="Times New Roman"/>
          <w:sz w:val="32"/>
          <w:szCs w:val="32"/>
          <w:shd w:val="clear" w:color="auto" w:fill="FFFFFF"/>
          <w:lang w:val="en-US" w:eastAsia="zh-CN"/>
        </w:rPr>
        <w:t>合计</w:t>
      </w:r>
      <w:r>
        <w:rPr>
          <w:rFonts w:hint="default" w:ascii="Times New Roman" w:hAnsi="Times New Roman" w:eastAsia="方正仿宋_GBK" w:cs="Times New Roman"/>
          <w:sz w:val="32"/>
          <w:szCs w:val="32"/>
        </w:rPr>
        <w:t>355.24</w:t>
      </w:r>
      <w:r>
        <w:rPr>
          <w:rFonts w:hint="default" w:ascii="Times New Roman" w:hAnsi="Times New Roman" w:eastAsia="方正仿宋_GBK" w:cs="Times New Roman"/>
          <w:sz w:val="32"/>
          <w:szCs w:val="32"/>
          <w:shd w:val="clear" w:color="auto" w:fill="FFFFFF"/>
        </w:rPr>
        <w:t>万元，较上年决算数增加355.24万元，增长100.00%。主要原因是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lang w:val="en-US" w:eastAsia="zh-CN"/>
        </w:rPr>
        <w:t>355.24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lang w:val="en-US" w:eastAsia="zh-CN"/>
        </w:rPr>
        <w:t>355.24</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lang w:val="en-US" w:eastAsia="zh-CN"/>
        </w:rPr>
        <w:t>355.24</w:t>
      </w:r>
      <w:r>
        <w:rPr>
          <w:rFonts w:hint="default" w:ascii="Times New Roman" w:hAnsi="Times New Roman" w:eastAsia="方正仿宋_GBK" w:cs="Times New Roman"/>
          <w:sz w:val="32"/>
          <w:szCs w:val="32"/>
          <w:shd w:val="clear" w:color="auto" w:fill="FFFFFF"/>
        </w:rPr>
        <w:t>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141.53</w:t>
      </w:r>
      <w:r>
        <w:rPr>
          <w:rFonts w:hint="default" w:ascii="Times New Roman" w:hAnsi="Times New Roman" w:eastAsia="方正仿宋_GBK" w:cs="Times New Roman"/>
          <w:sz w:val="32"/>
          <w:szCs w:val="32"/>
          <w:shd w:val="clear" w:color="auto" w:fill="FFFFFF"/>
        </w:rPr>
        <w:t>万元，占39.84%；项目支出</w:t>
      </w:r>
      <w:r>
        <w:rPr>
          <w:rFonts w:hint="default" w:ascii="Times New Roman" w:hAnsi="Times New Roman" w:eastAsia="方正仿宋_GBK" w:cs="Times New Roman"/>
          <w:sz w:val="32"/>
          <w:szCs w:val="32"/>
        </w:rPr>
        <w:t>213.71</w:t>
      </w:r>
      <w:r>
        <w:rPr>
          <w:rFonts w:hint="default" w:ascii="Times New Roman" w:hAnsi="Times New Roman" w:eastAsia="方正仿宋_GBK" w:cs="Times New Roman"/>
          <w:sz w:val="32"/>
          <w:szCs w:val="32"/>
          <w:shd w:val="clear" w:color="auto" w:fill="FFFFFF"/>
        </w:rPr>
        <w:t>万元，占60.16%；经营支出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2023年度财政拨款收、支总计355.24万元。与2022年相比，财政拨款收、支总计各增加355.24万元，增长100.00%。主要原因是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355.24</w:t>
      </w:r>
      <w:r>
        <w:rPr>
          <w:rFonts w:hint="default" w:ascii="Times New Roman" w:hAnsi="Times New Roman" w:eastAsia="方正仿宋_GBK" w:cs="Times New Roman"/>
          <w:sz w:val="32"/>
          <w:szCs w:val="32"/>
          <w:shd w:val="clear" w:color="auto" w:fill="FFFFFF"/>
        </w:rPr>
        <w:t>万元，较上年决算数增加355.24万元，增长100.00%。主要原因是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较年初预算数减少73.61万元，下降17.16%</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355.24</w:t>
      </w:r>
      <w:r>
        <w:rPr>
          <w:rFonts w:hint="default" w:ascii="Times New Roman" w:hAnsi="Times New Roman" w:eastAsia="方正仿宋_GBK" w:cs="Times New Roman"/>
          <w:sz w:val="32"/>
          <w:szCs w:val="32"/>
          <w:shd w:val="clear" w:color="auto" w:fill="FFFFFF"/>
        </w:rPr>
        <w:t>万元，较上年决算数增加355.24万元，增长100.00%。主要原因是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较年初预算数减少73.61万元，下降17.16%</w:t>
      </w:r>
      <w:r>
        <w:rPr>
          <w:rFonts w:hint="default" w:ascii="Times New Roman" w:hAnsi="Times New Roman" w:eastAsia="方正仿宋_GBK" w:cs="Times New Roman"/>
          <w:sz w:val="32"/>
          <w:szCs w:val="32"/>
          <w:shd w:val="clear" w:color="auto" w:fill="FFFFFF"/>
          <w:lang w:val="en-US" w:eastAsia="zh-CN"/>
        </w:rPr>
        <w:t>主要原因是落实过紧日子要求，压减支出</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329.24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92.68</w:t>
      </w:r>
      <w:r>
        <w:rPr>
          <w:rFonts w:hint="default" w:ascii="Times New Roman" w:hAnsi="Times New Roman" w:eastAsia="方正仿宋_GBK" w:cs="Times New Roman"/>
          <w:sz w:val="32"/>
          <w:szCs w:val="32"/>
          <w:shd w:val="clear" w:color="auto" w:fill="FFFFFF"/>
        </w:rPr>
        <w:t>%，较年初预算数减少66.78万元，下降16.86%，主要原因是</w:t>
      </w:r>
      <w:r>
        <w:rPr>
          <w:rFonts w:hint="default" w:ascii="Times New Roman" w:hAnsi="Times New Roman" w:eastAsia="方正仿宋_GBK" w:cs="Times New Roman"/>
          <w:sz w:val="32"/>
          <w:szCs w:val="32"/>
          <w:shd w:val="clear" w:color="auto" w:fill="FFFFFF"/>
          <w:lang w:val="en-US" w:eastAsia="zh-CN"/>
        </w:rPr>
        <w:t>落实过紧日子要求，压减支出。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12.87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3.62</w:t>
      </w:r>
      <w:r>
        <w:rPr>
          <w:rFonts w:hint="default" w:ascii="Times New Roman" w:hAnsi="Times New Roman" w:eastAsia="方正仿宋_GBK" w:cs="Times New Roman"/>
          <w:sz w:val="32"/>
          <w:szCs w:val="32"/>
          <w:shd w:val="clear" w:color="auto" w:fill="FFFFFF"/>
        </w:rPr>
        <w:t>%，较年初预算数减少4.63万元，下降26.46%，主要原因是</w:t>
      </w:r>
      <w:r>
        <w:rPr>
          <w:rFonts w:hint="default" w:ascii="Times New Roman" w:hAnsi="Times New Roman" w:eastAsia="方正仿宋_GBK" w:cs="Times New Roman"/>
          <w:sz w:val="32"/>
          <w:szCs w:val="32"/>
          <w:shd w:val="clear" w:color="auto" w:fill="FFFFFF"/>
          <w:lang w:val="en-US" w:eastAsia="zh-CN"/>
        </w:rPr>
        <w:t>由于人员变动，相关支出减少。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1.51</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2.18</w:t>
      </w:r>
      <w:r>
        <w:rPr>
          <w:rFonts w:hint="default" w:ascii="Times New Roman" w:hAnsi="Times New Roman" w:eastAsia="方正仿宋_GBK" w:cs="Times New Roman"/>
          <w:sz w:val="32"/>
          <w:szCs w:val="32"/>
          <w:shd w:val="clear" w:color="auto" w:fill="FFFFFF"/>
        </w:rPr>
        <w:t>%，较年初预算数减少2.20万元，下降22.11%，主要原因是</w:t>
      </w:r>
      <w:r>
        <w:rPr>
          <w:rFonts w:hint="default" w:ascii="Times New Roman" w:hAnsi="Times New Roman" w:eastAsia="方正仿宋_GBK" w:cs="Times New Roman"/>
          <w:sz w:val="32"/>
          <w:szCs w:val="32"/>
          <w:shd w:val="clear" w:color="auto" w:fill="FFFFFF"/>
          <w:lang w:val="en-US" w:eastAsia="zh-CN"/>
        </w:rPr>
        <w:t>由于人员变动，相关支出减少。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6"/>
          <w:szCs w:val="36"/>
          <w:shd w:val="clear" w:color="auto" w:fill="FFFFFF"/>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141.53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132.39</w:t>
      </w:r>
      <w:r>
        <w:rPr>
          <w:rFonts w:hint="default" w:ascii="Times New Roman" w:hAnsi="Times New Roman" w:eastAsia="方正仿宋_GBK" w:cs="Times New Roman"/>
          <w:sz w:val="32"/>
          <w:szCs w:val="32"/>
          <w:shd w:val="clear" w:color="auto" w:fill="FFFFFF"/>
        </w:rPr>
        <w:t>万元，较上年决算数增加132.39万元，增长100.00%，主要原因是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基本工资、津贴补贴、社会保险等。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9.14</w:t>
      </w:r>
      <w:r>
        <w:rPr>
          <w:rFonts w:hint="default" w:ascii="Times New Roman" w:hAnsi="Times New Roman" w:eastAsia="方正仿宋_GBK" w:cs="Times New Roman"/>
          <w:sz w:val="32"/>
          <w:szCs w:val="32"/>
          <w:shd w:val="clear" w:color="auto" w:fill="FFFFFF"/>
        </w:rPr>
        <w:t>万元，较上年决算数增加9.14万元，增长100.00%，主要原因是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2022年度本单位与部门合并编报决算，按照市财政局要求，2023年度独立编报决算，故与上年对比增长100.00%。公用经费用途主要包括办公费、通讯费、差旅费等。</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本单位2023年度无政府性基金预算财政拨款收支。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00"/>
        </w:rPr>
      </w:pPr>
      <w:r>
        <w:rPr>
          <w:rStyle w:val="9"/>
          <w:rFonts w:hint="default" w:ascii="Times New Roman" w:hAnsi="Times New Roman" w:eastAsia="方正黑体_GBK" w:cs="Times New Roman"/>
          <w:b w:val="0"/>
          <w:bCs/>
          <w:sz w:val="32"/>
          <w:szCs w:val="32"/>
          <w:shd w:val="clear" w:color="auto" w:fill="FFFFFF"/>
          <w:lang w:eastAsia="zh-CN"/>
        </w:rPr>
        <w:t>三、</w:t>
      </w:r>
      <w:r>
        <w:rPr>
          <w:rStyle w:val="9"/>
          <w:rFonts w:hint="default" w:ascii="Times New Roman" w:hAnsi="Times New Roman" w:eastAsia="方正黑体_GBK" w:cs="Times New Roman"/>
          <w:b w:val="0"/>
          <w:bCs/>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万元，较年初预算数无增减，较上年支出数无增减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US" w:eastAsia="zh-CN" w:bidi="ar-SA"/>
        </w:rPr>
        <w:t>我单位属二级预算单位，与一级预算单位重庆市秀山土家族苗族自治县发展和改革委员会合并办公，“三公”经费由一级预算单位统一核算。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0.42</w:t>
      </w:r>
      <w:r>
        <w:rPr>
          <w:rFonts w:hint="default" w:ascii="Times New Roman" w:hAnsi="Times New Roman" w:eastAsia="方正仿宋_GBK" w:cs="Times New Roman"/>
          <w:sz w:val="32"/>
          <w:szCs w:val="32"/>
          <w:shd w:val="clear" w:color="auto" w:fill="FFFFFF"/>
        </w:rPr>
        <w:t>万元，较上年决算数增加0.42万元，增长100.00%，主要原因是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lang w:val="en-US" w:eastAsia="zh-CN"/>
        </w:rPr>
        <w:t>按照部门决算列报口径，我单位不在机关运行经费统计范围之内。</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bidi="ar-SA"/>
        </w:rPr>
        <w:t>2023年度我单位未发生政府采购事项，无相关经费支出。</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个二级项目开展了绩效自评，涉及财政拨款项目支出资金213.71万元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单位自评情况见下表：</w:t>
      </w:r>
    </w:p>
    <w:tbl>
      <w:tblPr>
        <w:tblStyle w:val="10"/>
        <w:tblpPr w:leftFromText="180" w:rightFromText="180" w:vertAnchor="text" w:horzAnchor="page" w:tblpXSpec="center" w:tblpY="274"/>
        <w:tblOverlap w:val="never"/>
        <w:tblW w:w="8198" w:type="dxa"/>
        <w:jc w:val="center"/>
        <w:tblInd w:w="0" w:type="dxa"/>
        <w:tblLayout w:type="fixed"/>
        <w:tblCellMar>
          <w:top w:w="0" w:type="dxa"/>
          <w:left w:w="108" w:type="dxa"/>
          <w:bottom w:w="0" w:type="dxa"/>
          <w:right w:w="108" w:type="dxa"/>
        </w:tblCellMar>
      </w:tblPr>
      <w:tblGrid>
        <w:gridCol w:w="1157"/>
        <w:gridCol w:w="1447"/>
        <w:gridCol w:w="636"/>
        <w:gridCol w:w="897"/>
        <w:gridCol w:w="781"/>
        <w:gridCol w:w="695"/>
        <w:gridCol w:w="911"/>
        <w:gridCol w:w="665"/>
        <w:gridCol w:w="509"/>
        <w:gridCol w:w="500"/>
      </w:tblGrid>
      <w:tr>
        <w:tblPrEx>
          <w:tblLayout w:type="fixed"/>
          <w:tblCellMar>
            <w:top w:w="0" w:type="dxa"/>
            <w:left w:w="108" w:type="dxa"/>
            <w:bottom w:w="0" w:type="dxa"/>
            <w:right w:w="108" w:type="dxa"/>
          </w:tblCellMar>
        </w:tblPrEx>
        <w:trPr>
          <w:trHeight w:val="1276" w:hRule="atLeast"/>
          <w:jc w:val="center"/>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项目名称</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指标名称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指标性质</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指标值</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计量单位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指标权重</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全年完成值</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指标得分</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说明</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eastAsia="方正黑体_GBK" w:cs="Times New Roman"/>
                <w:color w:val="000000"/>
                <w:kern w:val="0"/>
                <w:sz w:val="22"/>
                <w:lang w:val="en-US" w:eastAsia="zh-CN" w:bidi="ar"/>
              </w:rPr>
            </w:pPr>
            <w:r>
              <w:rPr>
                <w:rFonts w:hint="default" w:ascii="Times New Roman" w:hAnsi="Times New Roman" w:eastAsia="方正黑体_GBK" w:cs="Times New Roman"/>
                <w:color w:val="000000"/>
                <w:kern w:val="0"/>
                <w:sz w:val="22"/>
                <w:lang w:val="en-US" w:eastAsia="zh-CN" w:bidi="ar"/>
              </w:rPr>
              <w:t>自评得分</w:t>
            </w:r>
          </w:p>
        </w:tc>
      </w:tr>
      <w:tr>
        <w:tblPrEx>
          <w:tblLayout w:type="fixed"/>
          <w:tblCellMar>
            <w:top w:w="0" w:type="dxa"/>
            <w:left w:w="108" w:type="dxa"/>
            <w:bottom w:w="0" w:type="dxa"/>
            <w:right w:w="108" w:type="dxa"/>
          </w:tblCellMar>
        </w:tblPrEx>
        <w:trPr>
          <w:trHeight w:val="1490" w:hRule="atLeast"/>
          <w:jc w:val="center"/>
        </w:trPr>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r>
              <w:rPr>
                <w:rFonts w:hint="default" w:ascii="Times New Roman" w:hAnsi="Times New Roman" w:cs="Times New Roman"/>
                <w:color w:val="000000"/>
                <w:sz w:val="22"/>
              </w:rPr>
              <w:t>项目可行性研究报告(含节能)、概算评审经费</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项目可行性研究报告（含节能）概算评审数量</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126</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70"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服务质量达标率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95</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55"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成果利用率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90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30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r>
      <w:tr>
        <w:tblPrEx>
          <w:tblLayout w:type="fixed"/>
          <w:tblCellMar>
            <w:top w:w="0" w:type="dxa"/>
            <w:left w:w="108" w:type="dxa"/>
            <w:bottom w:w="0" w:type="dxa"/>
            <w:right w:w="108" w:type="dxa"/>
          </w:tblCellMar>
        </w:tblPrEx>
        <w:trPr>
          <w:trHeight w:val="640" w:hRule="atLeast"/>
          <w:jc w:val="center"/>
        </w:trPr>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outlineLvl w:val="9"/>
              <w:rPr>
                <w:rFonts w:hint="default" w:ascii="Times New Roman" w:hAnsi="Times New Roman" w:cs="Times New Roman"/>
                <w:color w:val="000000"/>
                <w:sz w:val="22"/>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预算执行率</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color w:val="000000"/>
                <w:sz w:val="22"/>
                <w:lang w:eastAsia="zh-CN"/>
              </w:rPr>
            </w:pPr>
            <w:r>
              <w:rPr>
                <w:rFonts w:hint="default" w:ascii="Times New Roman" w:hAnsi="Times New Roman" w:cs="Times New Roman"/>
                <w:color w:val="000000"/>
                <w:sz w:val="22"/>
                <w:lang w:val="en-US" w:eastAsia="zh-CN"/>
              </w:rPr>
              <w:t>=</w:t>
            </w:r>
          </w:p>
        </w:tc>
        <w:tc>
          <w:tcPr>
            <w:tcW w:w="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100</w:t>
            </w:r>
          </w:p>
        </w:tc>
        <w:tc>
          <w:tcPr>
            <w:tcW w:w="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lang w:val="en-US"/>
              </w:rPr>
            </w:pPr>
            <w:r>
              <w:rPr>
                <w:rFonts w:hint="default" w:ascii="Times New Roman" w:hAnsi="Times New Roman" w:eastAsia="宋体" w:cs="Times New Roman"/>
                <w:i w:val="0"/>
                <w:color w:val="000000"/>
                <w:kern w:val="0"/>
                <w:sz w:val="22"/>
                <w:szCs w:val="22"/>
                <w:u w:val="none"/>
                <w:lang w:val="en-US" w:eastAsia="zh-CN" w:bidi="ar"/>
              </w:rPr>
              <w:t>10</w:t>
            </w:r>
          </w:p>
        </w:tc>
        <w:tc>
          <w:tcPr>
            <w:tcW w:w="5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w:t>
            </w:r>
          </w:p>
        </w:tc>
      </w:tr>
    </w:tbl>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8"/>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2"/>
        <w:autoSpaceDE w:val="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2"/>
        <w:autoSpaceDE w:val="0"/>
        <w:ind w:firstLine="640" w:firstLineChars="200"/>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联系人：刘先毅   联系电话：023-76666019</w:t>
      </w:r>
    </w:p>
    <w:p>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重庆市秀山土家族苗族自治县项目服务中心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355.24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重庆市秀山土家族苗族自治县项目服务中心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355.24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355.24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社会事业发展规划</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重庆市秀山土家族苗族自治县项目服务中心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355.24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141.53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213.71</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213.71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213.71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社会事业发展规划</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重庆市秀山土家族苗族自治县项目服务中心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重庆市秀山土家族苗族自治县项目服务中心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355.24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141.53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213.71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213.71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329.24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213.71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社会事业发展规划</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213.71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重庆市秀山土家族苗族自治县项目服务中心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132.39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132.39</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重庆市秀山土家族苗族自治县项目服务中心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重庆市秀山土家族苗族自治县项目服务中心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重庆市秀山土家族苗族自治县项目服务中心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B86998"/>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103C0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C3419F"/>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560C59"/>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D11499"/>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2024-10-08T09:16:55Z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