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eastAsia="zh-CN"/>
        </w:rPr>
        <w:t>重庆市</w:t>
      </w:r>
      <w:r>
        <w:rPr>
          <w:rFonts w:hint="default" w:ascii="Times New Roman" w:hAnsi="Times New Roman" w:eastAsia="方正小标宋_GBK" w:cs="Times New Roman"/>
          <w:sz w:val="36"/>
          <w:szCs w:val="36"/>
        </w:rPr>
        <w:t>秀山土家族苗族自治县价格认证中心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p>
    <w:p>
      <w:pPr>
        <w:pStyle w:val="7"/>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9"/>
          <w:rFonts w:hint="default" w:ascii="Times New Roman" w:hAnsi="Times New Roman" w:eastAsia="方正黑体_GBK" w:cs="Times New Roman"/>
          <w:b w:val="0"/>
          <w:bCs/>
          <w:sz w:val="32"/>
          <w:szCs w:val="32"/>
          <w:shd w:val="clear" w:color="auto" w:fill="FFFFFF"/>
        </w:rPr>
        <w:t>一、</w:t>
      </w:r>
      <w:r>
        <w:rPr>
          <w:rStyle w:val="9"/>
          <w:rFonts w:hint="default" w:ascii="Times New Roman" w:hAnsi="Times New Roman" w:eastAsia="方正黑体_GBK" w:cs="Times New Roman"/>
          <w:b w:val="0"/>
          <w:bCs/>
          <w:sz w:val="32"/>
          <w:szCs w:val="32"/>
          <w:shd w:val="clear" w:color="auto" w:fill="FFFFFF"/>
          <w:lang w:val="en-US" w:eastAsia="zh-CN"/>
        </w:rPr>
        <w:t>单位</w:t>
      </w:r>
      <w:r>
        <w:rPr>
          <w:rStyle w:val="9"/>
          <w:rFonts w:hint="default" w:ascii="Times New Roman" w:hAnsi="Times New Roman" w:eastAsia="方正黑体_GBK" w:cs="Times New Roman"/>
          <w:b w:val="0"/>
          <w:bCs/>
          <w:sz w:val="32"/>
          <w:szCs w:val="32"/>
          <w:shd w:val="clear" w:color="auto" w:fill="FFFFFF"/>
        </w:rPr>
        <w:t>基本情况</w:t>
      </w:r>
      <w:bookmarkStart w:id="0" w:name="_GoBack"/>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keepNext w:val="0"/>
        <w:keepLines w:val="0"/>
        <w:widowControl/>
        <w:suppressLineNumbers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负责全县行政区域内刑事犯罪、行政处罚、行政诉讼、国家赔偿和法律援助案件的涉案物品的价格鉴证事务性工作。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重庆</w:t>
      </w:r>
      <w:r>
        <w:rPr>
          <w:rFonts w:hint="default" w:ascii="Times New Roman" w:hAnsi="Times New Roman" w:eastAsia="方正仿宋_GBK" w:cs="Times New Roman"/>
          <w:kern w:val="2"/>
          <w:sz w:val="32"/>
          <w:szCs w:val="32"/>
          <w:lang w:val="en-US" w:eastAsia="zh-CN" w:bidi="ar-SA"/>
        </w:rPr>
        <w:t>市秀山土家族苗族自治县价格认证中心</w:t>
      </w:r>
      <w:r>
        <w:rPr>
          <w:rFonts w:hint="default" w:ascii="Times New Roman" w:hAnsi="Times New Roman" w:eastAsia="方正仿宋_GBK" w:cs="Times New Roman"/>
          <w:color w:val="000000"/>
          <w:kern w:val="0"/>
          <w:sz w:val="32"/>
          <w:szCs w:val="32"/>
          <w:lang w:val="en-US" w:eastAsia="zh-CN" w:bidi="ar-SA"/>
        </w:rPr>
        <w:t>为秀山县发展改革委管理的科级参公事业单位，无</w:t>
      </w:r>
      <w:r>
        <w:rPr>
          <w:rFonts w:hint="default" w:ascii="Times New Roman" w:hAnsi="Times New Roman" w:eastAsia="方正仿宋_GBK" w:cs="Times New Roman"/>
          <w:i w:val="0"/>
          <w:iCs w:val="0"/>
          <w:caps w:val="0"/>
          <w:color w:val="333333"/>
          <w:spacing w:val="0"/>
          <w:sz w:val="32"/>
          <w:szCs w:val="32"/>
          <w:shd w:val="clear" w:fill="FFFFFF"/>
        </w:rPr>
        <w:t>内设科室</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单位</w:t>
      </w:r>
      <w:r>
        <w:rPr>
          <w:rStyle w:val="9"/>
          <w:rFonts w:hint="default" w:ascii="Times New Roman" w:hAnsi="Times New Roman" w:eastAsia="方正黑体_GBK" w:cs="Times New Roman"/>
          <w:b w:val="0"/>
          <w:bCs/>
          <w:sz w:val="32"/>
          <w:szCs w:val="32"/>
          <w:shd w:val="clear" w:color="auto" w:fill="FFFFFF"/>
        </w:rPr>
        <w:t>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9"/>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highlight w:val="none"/>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2023年度收入总计118.14万元，支出总计</w:t>
      </w:r>
      <w:r>
        <w:rPr>
          <w:rFonts w:hint="default" w:ascii="Times New Roman" w:hAnsi="Times New Roman" w:eastAsia="方正仿宋_GBK" w:cs="Times New Roman"/>
          <w:sz w:val="32"/>
          <w:szCs w:val="32"/>
        </w:rPr>
        <w:t>118.14</w:t>
      </w:r>
      <w:r>
        <w:rPr>
          <w:rFonts w:hint="default" w:ascii="Times New Roman" w:hAnsi="Times New Roman" w:eastAsia="方正仿宋_GBK" w:cs="Times New Roman"/>
          <w:sz w:val="32"/>
          <w:szCs w:val="32"/>
          <w:shd w:val="clear" w:color="auto" w:fill="FFFFFF"/>
        </w:rPr>
        <w:t>万元。收支较上年决算数增加118.14万元，增长100.00%，主要原因是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2023年度收入合计118.14万元，较上年决算数增加118.14万元，增长100.00%，主要原因是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lang w:val="en-US" w:eastAsia="zh-CN"/>
        </w:rPr>
        <w:t>118.14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118.14</w:t>
      </w:r>
      <w:r>
        <w:rPr>
          <w:rFonts w:hint="default" w:ascii="Times New Roman" w:hAnsi="Times New Roman" w:eastAsia="方正仿宋_GBK" w:cs="Times New Roman"/>
          <w:sz w:val="32"/>
          <w:szCs w:val="32"/>
          <w:shd w:val="clear" w:color="auto" w:fill="FFFFFF"/>
        </w:rPr>
        <w:t>万元，较上年决算数增加118.14万元，增长100.00%，主要原因是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86.74</w:t>
      </w:r>
      <w:r>
        <w:rPr>
          <w:rFonts w:hint="default" w:ascii="Times New Roman" w:hAnsi="Times New Roman" w:eastAsia="方正仿宋_GBK" w:cs="Times New Roman"/>
          <w:sz w:val="32"/>
          <w:szCs w:val="32"/>
          <w:shd w:val="clear" w:color="auto" w:fill="FFFFFF"/>
        </w:rPr>
        <w:t>万元，占73.42%；项目支出</w:t>
      </w:r>
      <w:r>
        <w:rPr>
          <w:rFonts w:hint="default" w:ascii="Times New Roman" w:hAnsi="Times New Roman" w:eastAsia="方正仿宋_GBK" w:cs="Times New Roman"/>
          <w:sz w:val="32"/>
          <w:szCs w:val="32"/>
        </w:rPr>
        <w:t>31.40</w:t>
      </w:r>
      <w:r>
        <w:rPr>
          <w:rFonts w:hint="default" w:ascii="Times New Roman" w:hAnsi="Times New Roman" w:eastAsia="方正仿宋_GBK" w:cs="Times New Roman"/>
          <w:sz w:val="32"/>
          <w:szCs w:val="32"/>
          <w:shd w:val="clear" w:color="auto" w:fill="FFFFFF"/>
        </w:rPr>
        <w:t>万元，占26.58%；经营支出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22"/>
          <w:szCs w:val="2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2023年度财政拨款收、支总计118.14万元。与2022年相比，财政拨款收、支总计各增加118.14万元，增长100.00%。主要原因是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118.14</w:t>
      </w:r>
      <w:r>
        <w:rPr>
          <w:rFonts w:hint="default" w:ascii="Times New Roman" w:hAnsi="Times New Roman" w:eastAsia="方正仿宋_GBK" w:cs="Times New Roman"/>
          <w:sz w:val="32"/>
          <w:szCs w:val="32"/>
          <w:shd w:val="clear" w:color="auto" w:fill="FFFFFF"/>
        </w:rPr>
        <w:t>万元，较上年决算数增加118.14万元，增长100.00%。主要原因是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较年初预算数减少23.00万元，下降16.30%。</w:t>
      </w:r>
      <w:r>
        <w:rPr>
          <w:rFonts w:hint="default" w:ascii="Times New Roman" w:hAnsi="Times New Roman" w:eastAsia="方正仿宋_GBK" w:cs="Times New Roman"/>
          <w:sz w:val="32"/>
          <w:szCs w:val="32"/>
          <w:shd w:val="clear" w:color="auto" w:fill="FFFFFF"/>
          <w:lang w:val="en-US" w:eastAsia="zh-CN"/>
        </w:rPr>
        <w:t>主要原因是落实过紧日子要求，压减支出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118.14</w:t>
      </w:r>
      <w:r>
        <w:rPr>
          <w:rFonts w:hint="default" w:ascii="Times New Roman" w:hAnsi="Times New Roman" w:eastAsia="方正仿宋_GBK" w:cs="Times New Roman"/>
          <w:sz w:val="32"/>
          <w:szCs w:val="32"/>
          <w:shd w:val="clear" w:color="auto" w:fill="FFFFFF"/>
        </w:rPr>
        <w:t>万元，较上年决算数增加118.14万元，增长100.00%。主要原因是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较年初预算数减少23.00万元，下降16.30%。主要原因是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9"/>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102.76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86.98</w:t>
      </w:r>
      <w:r>
        <w:rPr>
          <w:rFonts w:hint="default" w:ascii="Times New Roman" w:hAnsi="Times New Roman" w:eastAsia="方正仿宋_GBK" w:cs="Times New Roman"/>
          <w:sz w:val="32"/>
          <w:szCs w:val="32"/>
          <w:shd w:val="clear" w:color="auto" w:fill="FFFFFF"/>
        </w:rPr>
        <w:t>%，较年初预算数减少13.23万元，下降11.41%，主要原因是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3.33</w:t>
      </w:r>
      <w:r>
        <w:rPr>
          <w:rFonts w:hint="default" w:ascii="Times New Roman" w:hAnsi="Times New Roman" w:eastAsia="方正仿宋_GBK" w:cs="Times New Roman"/>
          <w:sz w:val="32"/>
          <w:szCs w:val="32"/>
          <w:shd w:val="clear" w:color="auto" w:fill="FFFFFF"/>
        </w:rPr>
        <w:t>%，较年初预算数减少9.77万元，下降71.31%，主要原因是</w:t>
      </w:r>
      <w:r>
        <w:rPr>
          <w:rFonts w:hint="default" w:ascii="Times New Roman" w:hAnsi="Times New Roman" w:eastAsia="方正仿宋_GBK" w:cs="Times New Roman"/>
          <w:sz w:val="32"/>
          <w:szCs w:val="32"/>
          <w:shd w:val="clear" w:color="auto" w:fill="FFFFFF"/>
          <w:lang w:val="en-US" w:eastAsia="zh-CN"/>
        </w:rPr>
        <w:t>由于人员变动，相关支出减少。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6.48</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6"/>
          <w:szCs w:val="36"/>
          <w:shd w:val="clear" w:color="auto" w:fill="FFFFFF"/>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86.74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74.99</w:t>
      </w:r>
      <w:r>
        <w:rPr>
          <w:rFonts w:hint="default" w:ascii="Times New Roman" w:hAnsi="Times New Roman" w:eastAsia="方正仿宋_GBK" w:cs="Times New Roman"/>
          <w:sz w:val="32"/>
          <w:szCs w:val="32"/>
          <w:shd w:val="clear" w:color="auto" w:fill="FFFFFF"/>
        </w:rPr>
        <w:t>万元，较上年决算数增加74.99万元，增长100.00%，主要原因是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基本工资、津贴补贴、社会保险等。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11.74</w:t>
      </w:r>
      <w:r>
        <w:rPr>
          <w:rFonts w:hint="default" w:ascii="Times New Roman" w:hAnsi="Times New Roman" w:eastAsia="方正仿宋_GBK" w:cs="Times New Roman"/>
          <w:sz w:val="32"/>
          <w:szCs w:val="32"/>
          <w:shd w:val="clear" w:color="auto" w:fill="FFFFFF"/>
        </w:rPr>
        <w:t>万元，较上年决算数增加11.74万元，增长100.00%，主要原因是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2022年度本单位与部门合并编报决算，按照市财政局要求，2023年度独立编报决算，故与上年对比增长100.00%。公用经费用途主要包括办公费、通讯费、差旅费等。</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本单位2023年度无政府性基金预算财政拨款收支。</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00"/>
        </w:rPr>
      </w:pPr>
      <w:r>
        <w:rPr>
          <w:rStyle w:val="9"/>
          <w:rFonts w:hint="default" w:ascii="Times New Roman" w:hAnsi="Times New Roman" w:eastAsia="方正黑体_GBK" w:cs="Times New Roman"/>
          <w:b w:val="0"/>
          <w:bCs/>
          <w:sz w:val="32"/>
          <w:szCs w:val="32"/>
          <w:shd w:val="clear" w:color="auto" w:fill="FFFFFF"/>
          <w:lang w:eastAsia="zh-CN"/>
        </w:rPr>
        <w:t>三、</w:t>
      </w:r>
      <w:r>
        <w:rPr>
          <w:rStyle w:val="9"/>
          <w:rFonts w:hint="default" w:ascii="Times New Roman" w:hAnsi="Times New Roman" w:eastAsia="方正黑体_GBK" w:cs="Times New Roman"/>
          <w:b w:val="0"/>
          <w:bCs/>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万元，较年初预算数无增减，较上年支出数无增减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US" w:eastAsia="zh-CN" w:bidi="ar-SA"/>
        </w:rPr>
        <w:t>我单位属二级预算单位，与一级预算单位重庆市秀山土家族苗族自治县发展和改革委员会合并办公，“三公”经费由一级预算单位统一核算。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0.29</w:t>
      </w:r>
      <w:r>
        <w:rPr>
          <w:rFonts w:hint="default" w:ascii="Times New Roman" w:hAnsi="Times New Roman" w:eastAsia="方正仿宋_GBK" w:cs="Times New Roman"/>
          <w:sz w:val="32"/>
          <w:szCs w:val="32"/>
          <w:shd w:val="clear" w:color="auto" w:fill="FFFFFF"/>
        </w:rPr>
        <w:t>万元，较上年决算数增加0.29万元，增长100.00%，主要原因是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sz w:val="32"/>
          <w:szCs w:val="32"/>
          <w:shd w:val="clear" w:color="auto" w:fill="FFFF00"/>
          <w:lang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11.74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机关运行经费较上年支出数增加11.74万元，增长100.00%，主要原因是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bidi="ar-SA"/>
        </w:rPr>
        <w:t>2023年度我单位未发生政府采购事项，无相关经费支出。</w:t>
      </w:r>
    </w:p>
    <w:p>
      <w:pPr>
        <w:pStyle w:val="12"/>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31.4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单位自评情况见下表：</w:t>
      </w:r>
    </w:p>
    <w:tbl>
      <w:tblPr>
        <w:tblStyle w:val="10"/>
        <w:tblpPr w:leftFromText="180" w:rightFromText="180" w:vertAnchor="text" w:horzAnchor="page" w:tblpXSpec="center" w:tblpY="274"/>
        <w:tblOverlap w:val="never"/>
        <w:tblW w:w="8198" w:type="dxa"/>
        <w:jc w:val="center"/>
        <w:tblInd w:w="0" w:type="dxa"/>
        <w:tblLayout w:type="fixed"/>
        <w:tblCellMar>
          <w:top w:w="0" w:type="dxa"/>
          <w:left w:w="108" w:type="dxa"/>
          <w:bottom w:w="0" w:type="dxa"/>
          <w:right w:w="108" w:type="dxa"/>
        </w:tblCellMar>
      </w:tblPr>
      <w:tblGrid>
        <w:gridCol w:w="1157"/>
        <w:gridCol w:w="1447"/>
        <w:gridCol w:w="636"/>
        <w:gridCol w:w="897"/>
        <w:gridCol w:w="781"/>
        <w:gridCol w:w="695"/>
        <w:gridCol w:w="911"/>
        <w:gridCol w:w="665"/>
        <w:gridCol w:w="509"/>
        <w:gridCol w:w="500"/>
      </w:tblGrid>
      <w:tr>
        <w:tblPrEx>
          <w:tblLayout w:type="fixed"/>
          <w:tblCellMar>
            <w:top w:w="0" w:type="dxa"/>
            <w:left w:w="108" w:type="dxa"/>
            <w:bottom w:w="0" w:type="dxa"/>
            <w:right w:w="108" w:type="dxa"/>
          </w:tblCellMar>
        </w:tblPrEx>
        <w:trPr>
          <w:trHeight w:val="1276"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项目名称</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指标名称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指标性质</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指标值</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计量单位</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指标权重</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全年完成值</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指标得分</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说明</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kern w:val="0"/>
                <w:sz w:val="22"/>
                <w:lang w:val="en-US" w:eastAsia="zh-CN" w:bidi="ar"/>
              </w:rPr>
            </w:pPr>
            <w:r>
              <w:rPr>
                <w:rFonts w:hint="default" w:ascii="Times New Roman" w:hAnsi="Times New Roman" w:eastAsia="方正黑体_GBK" w:cs="Times New Roman"/>
                <w:color w:val="000000"/>
                <w:kern w:val="0"/>
                <w:sz w:val="22"/>
                <w:lang w:val="en-US" w:eastAsia="zh-CN" w:bidi="ar"/>
              </w:rPr>
              <w:t>自评得分</w:t>
            </w:r>
          </w:p>
        </w:tc>
      </w:tr>
      <w:tr>
        <w:tblPrEx>
          <w:tblLayout w:type="fixed"/>
          <w:tblCellMar>
            <w:top w:w="0" w:type="dxa"/>
            <w:left w:w="108" w:type="dxa"/>
            <w:bottom w:w="0" w:type="dxa"/>
            <w:right w:w="108" w:type="dxa"/>
          </w:tblCellMar>
        </w:tblPrEx>
        <w:trPr>
          <w:trHeight w:val="1140" w:hRule="atLeast"/>
          <w:jc w:val="center"/>
        </w:trPr>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r>
              <w:rPr>
                <w:rFonts w:hint="default" w:ascii="Times New Roman" w:hAnsi="Times New Roman" w:cs="Times New Roman"/>
                <w:color w:val="000000"/>
                <w:sz w:val="22"/>
              </w:rPr>
              <w:t>定价成本监审</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sz w:val="24"/>
                <w:szCs w:val="24"/>
              </w:rPr>
              <w:t>成本监审项目数量</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cs="Times New Roman"/>
                <w:i w:val="0"/>
                <w:color w:val="000000"/>
                <w:kern w:val="0"/>
                <w:sz w:val="22"/>
                <w:szCs w:val="22"/>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cs="Times New Roman"/>
                <w:i w:val="0"/>
                <w:color w:val="000000"/>
                <w:kern w:val="0"/>
                <w:sz w:val="22"/>
                <w:szCs w:val="22"/>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70"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服务质量达标率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55"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sz w:val="24"/>
                <w:szCs w:val="24"/>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40"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预算执行率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color w:val="000000"/>
                <w:sz w:val="22"/>
                <w:lang w:eastAsia="zh-CN"/>
              </w:rPr>
            </w:pPr>
            <w:r>
              <w:rPr>
                <w:rFonts w:hint="default" w:ascii="Times New Roman" w:hAnsi="Times New Roman" w:cs="Times New Roman"/>
                <w:color w:val="000000"/>
                <w:sz w:val="22"/>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w:t>
            </w:r>
          </w:p>
        </w:tc>
      </w:tr>
      <w:tr>
        <w:tblPrEx>
          <w:tblLayout w:type="fixed"/>
          <w:tblCellMar>
            <w:top w:w="0" w:type="dxa"/>
            <w:left w:w="108" w:type="dxa"/>
            <w:bottom w:w="0" w:type="dxa"/>
            <w:right w:w="108" w:type="dxa"/>
          </w:tblCellMar>
        </w:tblPrEx>
        <w:trPr>
          <w:trHeight w:val="1140" w:hRule="atLeast"/>
          <w:jc w:val="center"/>
        </w:trPr>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r>
              <w:rPr>
                <w:rFonts w:hint="default" w:ascii="Times New Roman" w:hAnsi="Times New Roman" w:cs="Times New Roman"/>
                <w:color w:val="000000"/>
                <w:sz w:val="22"/>
              </w:rPr>
              <w:t>2023年度价格监测和农产品成本调查经费（价格监测经费）</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sz w:val="24"/>
                <w:szCs w:val="24"/>
              </w:rPr>
              <w:t>数据上报及时</w:t>
            </w:r>
            <w:r>
              <w:rPr>
                <w:rFonts w:hint="default" w:ascii="Times New Roman" w:hAnsi="Times New Roman" w:eastAsia="宋体" w:cs="Times New Roman"/>
                <w:sz w:val="24"/>
                <w:szCs w:val="24"/>
                <w:lang w:val="en-US" w:eastAsia="zh-CN"/>
              </w:rPr>
              <w:t>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70"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sz w:val="24"/>
                <w:szCs w:val="24"/>
              </w:rPr>
              <w:t>经费不超预算</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sz w:val="24"/>
                <w:szCs w:val="24"/>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55"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sz w:val="24"/>
                <w:szCs w:val="24"/>
              </w:rPr>
              <w:t>项目持续推进</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cs="Times New Roman"/>
                <w:color w:val="000000"/>
                <w:sz w:val="22"/>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40"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预算执行率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color w:val="000000"/>
                <w:sz w:val="22"/>
                <w:lang w:eastAsia="zh-CN"/>
              </w:rPr>
            </w:pPr>
            <w:r>
              <w:rPr>
                <w:rFonts w:hint="default" w:ascii="Times New Roman" w:hAnsi="Times New Roman" w:cs="Times New Roman"/>
                <w:color w:val="000000"/>
                <w:sz w:val="22"/>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w:t>
            </w:r>
          </w:p>
        </w:tc>
      </w:tr>
    </w:tbl>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7"/>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2"/>
        <w:autoSpaceDE w:val="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2"/>
        <w:autoSpaceDE w:val="0"/>
        <w:ind w:firstLine="640" w:firstLineChars="200"/>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rPr>
        <w:t>联系人：刘先毅   联系电话：023-76666019</w:t>
      </w:r>
    </w:p>
    <w:p>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重庆市秀山土家族苗族自治县价格认证中心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118.14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102.76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118.14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118.14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118.14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重庆市秀山土家族苗族自治县价格认证中心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118.14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118.14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物价管理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重庆市秀山土家族苗族自治县价格认证中心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118.14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86.74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31.40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31.40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31.40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物价管理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重庆市秀山土家族苗族自治县价格认证中心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重庆市秀山土家族苗族自治县价格认证中心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118.14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86.74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71.36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71.36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物价管理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重庆市秀山土家族苗族自治县价格认证中心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74.99</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重庆市秀山土家族苗族自治县价格认证中心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重庆市秀山土家族苗族自治县价格认证中心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重庆市秀山土家族苗族自治县价格认证中心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11.74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11.74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0.29</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8E9DCCB"/>
    <w:multiLevelType w:val="singleLevel"/>
    <w:tmpl w:val="E8E9DCCB"/>
    <w:lvl w:ilvl="0" w:tentative="0">
      <w:start w:val="2"/>
      <w:numFmt w:val="chineseCounting"/>
      <w:suff w:val="nothing"/>
      <w:lvlText w:val="%1、"/>
      <w:lvlJc w:val="left"/>
      <w:rPr>
        <w:rFonts w:hint="eastAsia"/>
      </w:rPr>
    </w:lvl>
  </w:abstractNum>
  <w:abstractNum w:abstractNumId="2">
    <w:nsid w:val="13FC6729"/>
    <w:multiLevelType w:val="singleLevel"/>
    <w:tmpl w:val="13FC672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FF0C61"/>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550C0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90000E"/>
    <w:rsid w:val="4A263DF2"/>
    <w:rsid w:val="4A6F6675"/>
    <w:rsid w:val="4B135857"/>
    <w:rsid w:val="4B7951CB"/>
    <w:rsid w:val="4B7C315C"/>
    <w:rsid w:val="4DAC4ACA"/>
    <w:rsid w:val="4DBE01D2"/>
    <w:rsid w:val="4DEB764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100C86"/>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2024-10-08T09:16:17Z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