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0"/>
          <w:szCs w:val="40"/>
          <w:lang w:eastAsia="zh-CN"/>
        </w:rPr>
      </w:pPr>
      <w:r>
        <w:rPr>
          <w:rFonts w:hint="eastAsia" w:ascii="Times New Roman" w:hAnsi="Times New Roman" w:eastAsia="方正小标宋_GBK" w:cs="Times New Roman"/>
          <w:sz w:val="40"/>
          <w:szCs w:val="40"/>
          <w:lang w:eastAsia="zh-CN"/>
        </w:rPr>
        <w:t>重庆市</w:t>
      </w:r>
      <w:r>
        <w:rPr>
          <w:rFonts w:hint="default" w:ascii="Times New Roman" w:hAnsi="Times New Roman" w:eastAsia="方正小标宋_GBK" w:cs="Times New Roman"/>
          <w:sz w:val="40"/>
          <w:szCs w:val="40"/>
          <w:lang w:eastAsia="zh-CN"/>
        </w:rPr>
        <w:t>秀山土家族苗族自治县公共资源综合交易管理事务中心2023年度决算公开说明</w:t>
      </w:r>
    </w:p>
    <w:p>
      <w:pPr>
        <w:pStyle w:val="7"/>
        <w:keepNext w:val="0"/>
        <w:keepLines w:val="0"/>
        <w:pageBreakBefore w:val="0"/>
        <w:widowControl/>
        <w:kinsoku/>
        <w:overflowPunct/>
        <w:topLinePunct w:val="0"/>
        <w:autoSpaceDN/>
        <w:bidi w:val="0"/>
        <w:adjustRightInd/>
        <w:spacing w:before="0" w:beforeAutospacing="0" w:after="0" w:afterAutospacing="0" w:line="560" w:lineRule="exact"/>
        <w:jc w:val="both"/>
        <w:rPr>
          <w:rFonts w:hint="default" w:ascii="Times New Roman" w:hAnsi="Times New Roman" w:eastAsia="方正小标宋_GBK" w:cs="Times New Roman"/>
          <w:sz w:val="36"/>
          <w:szCs w:val="36"/>
          <w:shd w:val="clear" w:color="auto" w:fill="FFFFFF"/>
        </w:rPr>
      </w:pPr>
      <w:bookmarkStart w:id="0" w:name="_GoBack"/>
      <w:bookmarkEnd w:id="0"/>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黑体_GBK" w:cs="Times New Roman"/>
          <w:b w:val="0"/>
          <w:bCs/>
          <w:sz w:val="32"/>
          <w:szCs w:val="32"/>
          <w:highlight w:val="yellow"/>
          <w:lang w:eastAsia="zh-CN"/>
        </w:rPr>
      </w:pPr>
      <w:r>
        <w:rPr>
          <w:rStyle w:val="9"/>
          <w:rFonts w:hint="default" w:ascii="Times New Roman" w:hAnsi="Times New Roman" w:eastAsia="方正黑体_GBK" w:cs="Times New Roman"/>
          <w:b w:val="0"/>
          <w:bCs/>
          <w:sz w:val="32"/>
          <w:szCs w:val="32"/>
          <w:shd w:val="clear" w:color="auto" w:fill="FFFFFF"/>
        </w:rPr>
        <w:t>一、</w:t>
      </w:r>
      <w:r>
        <w:rPr>
          <w:rStyle w:val="9"/>
          <w:rFonts w:hint="default" w:ascii="Times New Roman" w:hAnsi="Times New Roman" w:eastAsia="方正黑体_GBK" w:cs="Times New Roman"/>
          <w:b w:val="0"/>
          <w:bCs/>
          <w:sz w:val="32"/>
          <w:szCs w:val="32"/>
          <w:shd w:val="clear" w:color="auto" w:fill="FFFFFF"/>
          <w:lang w:val="en-US" w:eastAsia="zh-CN"/>
        </w:rPr>
        <w:t>单位</w:t>
      </w:r>
      <w:r>
        <w:rPr>
          <w:rStyle w:val="9"/>
          <w:rFonts w:hint="default" w:ascii="Times New Roman" w:hAnsi="Times New Roman" w:eastAsia="方正黑体_GBK" w:cs="Times New Roman"/>
          <w:b w:val="0"/>
          <w:bCs/>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1</w:t>
      </w:r>
      <w:r>
        <w:rPr>
          <w:rFonts w:hint="default"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sz w:val="32"/>
          <w:szCs w:val="32"/>
          <w:lang w:val="en-US" w:eastAsia="zh-CN"/>
        </w:rPr>
        <w:t>承担统筹指导协调全县公共资源交易活动监督管理事务性工作，参与县级公共资源交易规范性文件制定工作。指导县公共资源交易平台建设，推动全县公共资源交易信息化、全流程电子化，统计分析交易活动相关数据；负责县级审批、核准依法必须招标工程建设项目的招标投标活动监管事务性工作；协助受理投诉及违法违规行为查处，对综合评标专家、招标代理机构进行日常事务性管理和招标投标信用信息录入；</w:t>
      </w:r>
      <w:r>
        <w:rPr>
          <w:rFonts w:hint="default" w:ascii="Times New Roman" w:hAnsi="Times New Roman" w:eastAsia="方正仿宋_GBK" w:cs="Times New Roman"/>
          <w:color w:val="auto"/>
          <w:sz w:val="32"/>
          <w:szCs w:val="32"/>
          <w:lang w:val="en-US" w:eastAsia="zh-CN"/>
        </w:rPr>
        <w:t>督促县级各行业监督部门强化标后监督管理工作。</w:t>
      </w:r>
    </w:p>
    <w:p>
      <w:pPr>
        <w:pStyle w:val="17"/>
        <w:keepNext w:val="0"/>
        <w:keepLines w:val="0"/>
        <w:pageBreakBefore w:val="0"/>
        <w:widowControl w:val="0"/>
        <w:kinsoku/>
        <w:wordWrap/>
        <w:topLinePunct w:val="0"/>
        <w:bidi w:val="0"/>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t>2.完成县发展改革委交办的其他工作任务。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sz w:val="32"/>
          <w:szCs w:val="32"/>
          <w:shd w:val="clear" w:color="auto" w:fill="FFFFFF"/>
        </w:rPr>
      </w:pPr>
      <w:r>
        <w:rPr>
          <w:rStyle w:val="9"/>
          <w:rFonts w:hint="default" w:ascii="Times New Roman" w:hAnsi="Times New Roman" w:eastAsia="方正楷体_GBK" w:cs="Times New Roman"/>
          <w:b w:val="0"/>
          <w:bCs/>
          <w:sz w:val="32"/>
          <w:szCs w:val="32"/>
          <w:shd w:val="clear" w:color="auto" w:fill="FFFFFF"/>
        </w:rPr>
        <w:t>（二）机构设置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lang w:val="en-US" w:eastAsia="zh-CN"/>
        </w:rPr>
        <w:t>重庆</w:t>
      </w:r>
      <w:r>
        <w:rPr>
          <w:rFonts w:hint="default" w:ascii="Times New Roman" w:hAnsi="Times New Roman" w:eastAsia="方正仿宋_GBK" w:cs="Times New Roman"/>
          <w:kern w:val="2"/>
          <w:sz w:val="32"/>
          <w:szCs w:val="32"/>
          <w:lang w:val="en-US" w:eastAsia="zh-CN" w:bidi="ar-SA"/>
        </w:rPr>
        <w:t>市秀山土家族苗族自治县公共资源综合交易管理事务中心</w:t>
      </w:r>
      <w:r>
        <w:rPr>
          <w:rFonts w:hint="default" w:ascii="Times New Roman" w:hAnsi="Times New Roman" w:eastAsia="方正仿宋_GBK" w:cs="Times New Roman"/>
          <w:sz w:val="32"/>
          <w:szCs w:val="32"/>
          <w:lang w:val="en-US" w:eastAsia="zh-CN"/>
        </w:rPr>
        <w:t>为县发展改革委管理的公益一类正科级事业单位</w:t>
      </w:r>
      <w:r>
        <w:rPr>
          <w:rFonts w:hint="default" w:ascii="Times New Roman" w:hAnsi="Times New Roman" w:eastAsia="方正仿宋_GBK" w:cs="Times New Roman"/>
          <w:sz w:val="32"/>
          <w:lang w:val="en-US" w:eastAsia="zh-CN"/>
        </w:rPr>
        <w:t>，内设3个科室，</w:t>
      </w:r>
      <w:r>
        <w:rPr>
          <w:rFonts w:hint="default" w:ascii="Times New Roman" w:hAnsi="Times New Roman" w:eastAsia="方正仿宋_GBK" w:cs="Times New Roman"/>
          <w:i w:val="0"/>
          <w:iCs w:val="0"/>
          <w:caps w:val="0"/>
          <w:color w:val="333333"/>
          <w:spacing w:val="0"/>
          <w:sz w:val="32"/>
          <w:szCs w:val="32"/>
          <w:shd w:val="clear" w:fill="FFFFFF"/>
        </w:rPr>
        <w:t>分别是：</w:t>
      </w:r>
      <w:r>
        <w:rPr>
          <w:rFonts w:hint="default" w:ascii="Times New Roman" w:hAnsi="Times New Roman" w:eastAsia="方正仿宋_GBK" w:cs="Times New Roman"/>
          <w:sz w:val="32"/>
          <w:szCs w:val="32"/>
          <w:lang w:val="en-US" w:eastAsia="zh-CN"/>
        </w:rPr>
        <w:t>综合协调科，市场管理科，交易监督科</w:t>
      </w:r>
      <w:r>
        <w:rPr>
          <w:rFonts w:hint="default" w:ascii="Times New Roman" w:hAnsi="Times New Roman" w:eastAsia="方正仿宋_GBK" w:cs="Times New Roman"/>
          <w:i w:val="0"/>
          <w:iCs w:val="0"/>
          <w:caps w:val="0"/>
          <w:color w:val="333333"/>
          <w:spacing w:val="0"/>
          <w:sz w:val="32"/>
          <w:szCs w:val="32"/>
          <w:shd w:val="clear" w:fill="FFFFFF"/>
        </w:rPr>
        <w:t>。</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lang w:eastAsia="zh-CN"/>
        </w:rPr>
        <w:t>单位</w:t>
      </w:r>
      <w:r>
        <w:rPr>
          <w:rStyle w:val="9"/>
          <w:rFonts w:hint="default" w:ascii="Times New Roman" w:hAnsi="Times New Roman" w:eastAsia="方正黑体_GBK" w:cs="Times New Roman"/>
          <w:b w:val="0"/>
          <w:bCs/>
          <w:sz w:val="32"/>
          <w:szCs w:val="32"/>
          <w:shd w:val="clear" w:color="auto" w:fill="FFFFFF"/>
        </w:rPr>
        <w:t>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9"/>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2023年度收入总计231.08万元，支出总计</w:t>
      </w:r>
      <w:r>
        <w:rPr>
          <w:rFonts w:hint="default" w:ascii="Times New Roman" w:hAnsi="Times New Roman" w:eastAsia="方正仿宋_GBK" w:cs="Times New Roman"/>
          <w:sz w:val="32"/>
          <w:szCs w:val="32"/>
        </w:rPr>
        <w:t>231.08</w:t>
      </w:r>
      <w:r>
        <w:rPr>
          <w:rFonts w:hint="default" w:ascii="Times New Roman" w:hAnsi="Times New Roman" w:eastAsia="方正仿宋_GBK" w:cs="Times New Roman"/>
          <w:sz w:val="32"/>
          <w:szCs w:val="32"/>
          <w:shd w:val="clear" w:color="auto" w:fill="FFFFFF"/>
        </w:rPr>
        <w:t>万元。收支较上年决算数增加231.08万元，增长100.00%，主要原因是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2023年度一收入</w:t>
      </w:r>
      <w:r>
        <w:rPr>
          <w:rFonts w:hint="default" w:ascii="Times New Roman" w:hAnsi="Times New Roman" w:eastAsia="方正仿宋_GBK" w:cs="Times New Roman"/>
          <w:sz w:val="32"/>
          <w:szCs w:val="32"/>
          <w:shd w:val="clear" w:color="auto" w:fill="FFFFFF"/>
          <w:lang w:val="en-US" w:eastAsia="zh-CN"/>
        </w:rPr>
        <w:t>合计</w:t>
      </w:r>
      <w:r>
        <w:rPr>
          <w:rFonts w:hint="default" w:ascii="Times New Roman" w:hAnsi="Times New Roman" w:eastAsia="方正仿宋_GBK" w:cs="Times New Roman"/>
          <w:sz w:val="32"/>
          <w:szCs w:val="32"/>
        </w:rPr>
        <w:t>231.08</w:t>
      </w:r>
      <w:r>
        <w:rPr>
          <w:rFonts w:hint="default" w:ascii="Times New Roman" w:hAnsi="Times New Roman" w:eastAsia="方正仿宋_GBK" w:cs="Times New Roman"/>
          <w:sz w:val="32"/>
          <w:szCs w:val="32"/>
          <w:shd w:val="clear" w:color="auto" w:fill="FFFFFF"/>
        </w:rPr>
        <w:t>万元，较上年决算数增加231.08万元，增长100.00%。主要原因是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lang w:val="en-US" w:eastAsia="zh-CN"/>
        </w:rPr>
        <w:t>231.08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lang w:val="en-US" w:eastAsia="zh-CN"/>
        </w:rPr>
        <w:t>231.08</w:t>
      </w:r>
      <w:r>
        <w:rPr>
          <w:rFonts w:hint="default" w:ascii="Times New Roman" w:hAnsi="Times New Roman" w:eastAsia="方正仿宋_GBK" w:cs="Times New Roman"/>
          <w:sz w:val="32"/>
          <w:szCs w:val="32"/>
          <w:shd w:val="clear" w:color="auto" w:fill="FFFFFF"/>
        </w:rPr>
        <w:t>万元，较上年决算数增加</w:t>
      </w:r>
      <w:r>
        <w:rPr>
          <w:rFonts w:hint="default" w:ascii="Times New Roman" w:hAnsi="Times New Roman" w:eastAsia="方正仿宋_GBK" w:cs="Times New Roman"/>
          <w:sz w:val="32"/>
          <w:szCs w:val="32"/>
          <w:shd w:val="clear" w:color="auto" w:fill="FFFFFF"/>
          <w:lang w:val="en-US" w:eastAsia="zh-CN"/>
        </w:rPr>
        <w:t>231.08</w:t>
      </w:r>
      <w:r>
        <w:rPr>
          <w:rFonts w:hint="default" w:ascii="Times New Roman" w:hAnsi="Times New Roman" w:eastAsia="方正仿宋_GBK" w:cs="Times New Roman"/>
          <w:sz w:val="32"/>
          <w:szCs w:val="32"/>
          <w:shd w:val="clear" w:color="auto" w:fill="FFFFFF"/>
        </w:rPr>
        <w:t>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201.97</w:t>
      </w:r>
      <w:r>
        <w:rPr>
          <w:rFonts w:hint="default" w:ascii="Times New Roman" w:hAnsi="Times New Roman" w:eastAsia="方正仿宋_GBK" w:cs="Times New Roman"/>
          <w:sz w:val="32"/>
          <w:szCs w:val="32"/>
          <w:shd w:val="clear" w:color="auto" w:fill="FFFFFF"/>
        </w:rPr>
        <w:t>万元，占87.40%；项目支出</w:t>
      </w:r>
      <w:r>
        <w:rPr>
          <w:rFonts w:hint="default" w:ascii="Times New Roman" w:hAnsi="Times New Roman" w:eastAsia="方正仿宋_GBK" w:cs="Times New Roman"/>
          <w:sz w:val="32"/>
          <w:szCs w:val="32"/>
        </w:rPr>
        <w:t>29.12</w:t>
      </w:r>
      <w:r>
        <w:rPr>
          <w:rFonts w:hint="default" w:ascii="Times New Roman" w:hAnsi="Times New Roman" w:eastAsia="方正仿宋_GBK" w:cs="Times New Roman"/>
          <w:sz w:val="32"/>
          <w:szCs w:val="32"/>
          <w:shd w:val="clear" w:color="auto" w:fill="FFFFFF"/>
        </w:rPr>
        <w:t>万元，占12.60%；经营支出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22"/>
          <w:szCs w:val="2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2023年度财政拨款收、支总计231.08万元。与2022年相比，财政拨款收、支总计各增加231.08万元，增长100.00%。主要原因是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231.08</w:t>
      </w:r>
      <w:r>
        <w:rPr>
          <w:rFonts w:hint="default" w:ascii="Times New Roman" w:hAnsi="Times New Roman" w:eastAsia="方正仿宋_GBK" w:cs="Times New Roman"/>
          <w:sz w:val="32"/>
          <w:szCs w:val="32"/>
          <w:shd w:val="clear" w:color="auto" w:fill="FFFFFF"/>
        </w:rPr>
        <w:t>万元，较上年决算数增加231.08万元，增长100.00%。主要原因是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较年初预算数减少44.14万元，下降16.04%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主要原因是落实过紧日子要求，压减支出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231.08</w:t>
      </w:r>
      <w:r>
        <w:rPr>
          <w:rFonts w:hint="default" w:ascii="Times New Roman" w:hAnsi="Times New Roman" w:eastAsia="方正仿宋_GBK" w:cs="Times New Roman"/>
          <w:sz w:val="32"/>
          <w:szCs w:val="32"/>
          <w:shd w:val="clear" w:color="auto" w:fill="FFFFFF"/>
        </w:rPr>
        <w:t>万元，较上年决算数增加231.08万元，增长100.00%。主要原因是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较年初预算数减少44.14万元，下降16.04%。主要原因是</w:t>
      </w:r>
      <w:r>
        <w:rPr>
          <w:rFonts w:hint="default" w:ascii="Times New Roman" w:hAnsi="Times New Roman" w:eastAsia="方正仿宋_GBK" w:cs="Times New Roman"/>
          <w:sz w:val="32"/>
          <w:szCs w:val="32"/>
          <w:shd w:val="clear" w:color="auto" w:fill="FFFFFF"/>
          <w:lang w:val="en-US" w:eastAsia="zh-CN"/>
        </w:rPr>
        <w:t>落实过紧日子要求，压减支出</w:t>
      </w:r>
      <w:r>
        <w:rPr>
          <w:rFonts w:hint="default" w:ascii="Times New Roman" w:hAnsi="Times New Roman" w:eastAsia="方正仿宋_GBK" w:cs="Times New Roman"/>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4874CB" w:themeColor="accent1"/>
          <w:sz w:val="22"/>
          <w:szCs w:val="22"/>
          <w:highlight w:val="none"/>
          <w:shd w:val="clear" w:color="auto" w:fill="FFFFFF"/>
          <w14:textFill>
            <w14:solidFill>
              <w14:schemeClr w14:val="accent1"/>
            </w14:solidFill>
          </w14:textFill>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2023年度一般公共预算财政拨款支出主要用于以下几个方面：</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179.91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77.86</w:t>
      </w:r>
      <w:r>
        <w:rPr>
          <w:rFonts w:hint="default" w:ascii="Times New Roman" w:hAnsi="Times New Roman" w:eastAsia="方正仿宋_GBK" w:cs="Times New Roman"/>
          <w:sz w:val="32"/>
          <w:szCs w:val="32"/>
          <w:shd w:val="clear" w:color="auto" w:fill="FFFFFF"/>
        </w:rPr>
        <w:t>%，较年初预算数减少32.62万元，下降15.35%，主要原因是</w:t>
      </w:r>
      <w:r>
        <w:rPr>
          <w:rFonts w:hint="default" w:ascii="Times New Roman" w:hAnsi="Times New Roman" w:eastAsia="方正仿宋_GBK" w:cs="Times New Roman"/>
          <w:sz w:val="32"/>
          <w:szCs w:val="32"/>
          <w:shd w:val="clear" w:color="auto" w:fill="FFFFFF"/>
          <w:lang w:val="en-US" w:eastAsia="zh-CN"/>
        </w:rPr>
        <w:t>落实过紧日子要求，压减支出。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25.26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10.93</w:t>
      </w:r>
      <w:r>
        <w:rPr>
          <w:rFonts w:hint="default" w:ascii="Times New Roman" w:hAnsi="Times New Roman" w:eastAsia="方正仿宋_GBK" w:cs="Times New Roman"/>
          <w:sz w:val="32"/>
          <w:szCs w:val="32"/>
          <w:shd w:val="clear" w:color="auto" w:fill="FFFFFF"/>
        </w:rPr>
        <w:t>%，较年初预算数减少8.30万元，下降24.73%，主要原因是</w:t>
      </w:r>
      <w:r>
        <w:rPr>
          <w:rFonts w:hint="default" w:ascii="Times New Roman" w:hAnsi="Times New Roman" w:eastAsia="方正仿宋_GBK" w:cs="Times New Roman"/>
          <w:sz w:val="32"/>
          <w:szCs w:val="32"/>
          <w:shd w:val="clear" w:color="auto" w:fill="FFFFFF"/>
          <w:lang w:val="en-US" w:eastAsia="zh-CN"/>
        </w:rPr>
        <w:t>由于人员变动，相关支出减少。</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4.37</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住房保障支出15.81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6.84</w:t>
      </w:r>
      <w:r>
        <w:rPr>
          <w:rFonts w:hint="default" w:ascii="Times New Roman" w:hAnsi="Times New Roman" w:eastAsia="方正仿宋_GBK" w:cs="Times New Roman"/>
          <w:sz w:val="32"/>
          <w:szCs w:val="32"/>
          <w:shd w:val="clear" w:color="auto" w:fill="FFFFFF"/>
        </w:rPr>
        <w:t>%，较年初预算数减少3.22万元，下降16.92%，主要原因是</w:t>
      </w:r>
      <w:r>
        <w:rPr>
          <w:rFonts w:hint="default" w:ascii="Times New Roman" w:hAnsi="Times New Roman" w:eastAsia="方正仿宋_GBK" w:cs="Times New Roman"/>
          <w:sz w:val="32"/>
          <w:szCs w:val="32"/>
          <w:shd w:val="clear" w:color="auto" w:fill="FFFFFF"/>
          <w:lang w:val="en-US" w:eastAsia="zh-CN"/>
        </w:rPr>
        <w:t>由于人员变动，相关支出减少。</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6"/>
          <w:szCs w:val="36"/>
          <w:shd w:val="clear" w:color="auto" w:fill="FFFFFF"/>
          <w:lang w:val="en-US" w:eastAsia="zh-CN"/>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201.97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182.44</w:t>
      </w:r>
      <w:r>
        <w:rPr>
          <w:rFonts w:hint="default" w:ascii="Times New Roman" w:hAnsi="Times New Roman" w:eastAsia="方正仿宋_GBK" w:cs="Times New Roman"/>
          <w:sz w:val="32"/>
          <w:szCs w:val="32"/>
          <w:shd w:val="clear" w:color="auto" w:fill="FFFFFF"/>
        </w:rPr>
        <w:t>万元，较上年决算数增加182.44万元，增长100.00%，主要原因是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基本工资、津贴补贴、社会保险等。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19.53</w:t>
      </w:r>
      <w:r>
        <w:rPr>
          <w:rFonts w:hint="default" w:ascii="Times New Roman" w:hAnsi="Times New Roman" w:eastAsia="方正仿宋_GBK" w:cs="Times New Roman"/>
          <w:sz w:val="32"/>
          <w:szCs w:val="32"/>
          <w:shd w:val="clear" w:color="auto" w:fill="FFFFFF"/>
        </w:rPr>
        <w:t>万元，较上年决算数增加19.53万元，增长100.00%，主要原因是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2022年度本单位与部门合并编报决算，按照市财政局要求，2023年度独立编报决算，故与上年对比增长100.00%。公用经费用途主要包括办公费、通讯费、差旅费等。</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本单位2023年度无政府性基金预算财政拨款收支。</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val="en-US" w:eastAsia="zh-CN" w:bidi="ar-SA"/>
        </w:rPr>
        <w:t>本单位2023年度无国有资本经营预算财政拨款支出。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Style w:val="9"/>
          <w:rFonts w:hint="default" w:ascii="Times New Roman" w:hAnsi="Times New Roman" w:eastAsia="方正仿宋_GBK" w:cs="Times New Roman"/>
          <w:b w:val="0"/>
          <w:bCs/>
          <w:sz w:val="32"/>
          <w:szCs w:val="32"/>
          <w:shd w:val="clear" w:color="auto" w:fill="FFFF00"/>
        </w:rPr>
      </w:pPr>
      <w:r>
        <w:rPr>
          <w:rStyle w:val="9"/>
          <w:rFonts w:hint="default" w:ascii="Times New Roman" w:hAnsi="Times New Roman" w:eastAsia="方正黑体_GBK" w:cs="Times New Roman"/>
          <w:b w:val="0"/>
          <w:bCs/>
          <w:sz w:val="32"/>
          <w:szCs w:val="32"/>
          <w:shd w:val="clear" w:color="auto" w:fill="FFFFFF"/>
          <w:lang w:eastAsia="zh-CN"/>
        </w:rPr>
        <w:t>三、</w:t>
      </w:r>
      <w:r>
        <w:rPr>
          <w:rStyle w:val="9"/>
          <w:rFonts w:hint="default" w:ascii="Times New Roman" w:hAnsi="Times New Roman" w:eastAsia="方正黑体_GBK" w:cs="Times New Roman"/>
          <w:b w:val="0"/>
          <w:bCs/>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万元，较年初预算数增加0.20万元，增长100.00%，主要原因是</w:t>
      </w:r>
      <w:r>
        <w:rPr>
          <w:rFonts w:hint="default" w:ascii="Times New Roman" w:hAnsi="Times New Roman" w:eastAsia="方正仿宋_GBK" w:cs="Times New Roman"/>
          <w:sz w:val="32"/>
          <w:szCs w:val="32"/>
          <w:shd w:val="clear" w:color="auto" w:fill="FFFFFF"/>
          <w:lang w:val="en-US" w:eastAsia="zh-CN"/>
        </w:rPr>
        <w:t>合并原公共资源交易中心财务数据，其中包含公务接待费0.2万元。</w:t>
      </w:r>
      <w:r>
        <w:rPr>
          <w:rFonts w:hint="default" w:ascii="Times New Roman" w:hAnsi="Times New Roman" w:eastAsia="方正仿宋_GBK" w:cs="Times New Roman"/>
          <w:sz w:val="32"/>
          <w:szCs w:val="32"/>
          <w:shd w:val="clear" w:color="auto" w:fill="FFFFFF"/>
        </w:rPr>
        <w:t>较上年支出数增加0.20万元，增长100.00%，</w:t>
      </w:r>
      <w:r>
        <w:rPr>
          <w:rFonts w:hint="default" w:ascii="Times New Roman" w:hAnsi="Times New Roman" w:eastAsia="方正仿宋_GBK" w:cs="Times New Roman"/>
          <w:sz w:val="32"/>
          <w:szCs w:val="32"/>
          <w:shd w:val="clear" w:color="auto" w:fill="FFFFFF"/>
          <w:lang w:val="en-US" w:eastAsia="zh-CN"/>
        </w:rPr>
        <w:t>主要原因</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val="en-US" w:eastAsia="zh-CN"/>
        </w:rPr>
        <w:t>用于原公共资源交易中心接待评标专家误餐开支。</w:t>
      </w:r>
      <w:r>
        <w:rPr>
          <w:rFonts w:hint="default" w:ascii="Times New Roman" w:hAnsi="Times New Roman" w:eastAsia="方正仿宋_GBK" w:cs="Times New Roman"/>
          <w:sz w:val="32"/>
          <w:szCs w:val="32"/>
          <w:shd w:val="clear" w:color="auto" w:fill="FFFFFF"/>
        </w:rPr>
        <w:t>费用支出较年初预算数增加0.20万元，增长100.00%，主要原因是</w:t>
      </w:r>
      <w:r>
        <w:rPr>
          <w:rFonts w:hint="default" w:ascii="Times New Roman" w:hAnsi="Times New Roman" w:eastAsia="方正仿宋_GBK" w:cs="Times New Roman"/>
          <w:sz w:val="32"/>
          <w:szCs w:val="32"/>
          <w:shd w:val="clear" w:color="auto" w:fill="FFFFFF"/>
          <w:lang w:val="en-US" w:eastAsia="zh-CN"/>
        </w:rPr>
        <w:t>合并原公共资源交易中心财务数据，其中包含公务接待费0.2万元。</w:t>
      </w:r>
      <w:r>
        <w:rPr>
          <w:rFonts w:hint="default" w:ascii="Times New Roman" w:hAnsi="Times New Roman" w:eastAsia="方正仿宋_GBK" w:cs="Times New Roman"/>
          <w:sz w:val="32"/>
          <w:szCs w:val="32"/>
          <w:shd w:val="clear" w:color="auto" w:fill="FFFFFF"/>
        </w:rPr>
        <w:t>较上年支出数增加0.20万元，增长100.00%，</w:t>
      </w:r>
      <w:r>
        <w:rPr>
          <w:rFonts w:hint="default" w:ascii="Times New Roman" w:hAnsi="Times New Roman" w:eastAsia="方正仿宋_GBK" w:cs="Times New Roman"/>
          <w:sz w:val="32"/>
          <w:szCs w:val="32"/>
          <w:shd w:val="clear" w:color="auto" w:fill="FFFFFF"/>
          <w:lang w:val="en-US" w:eastAsia="zh-CN"/>
        </w:rPr>
        <w:t>主要原因</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80.00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（一）财政拨款会议费和培训费情况说明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万元，较上年决算数无增减。本年度培训费支出</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万元，较上年决算数增加0.76万元，增长100.00%，主要原因是</w:t>
      </w:r>
      <w:r>
        <w:rPr>
          <w:rFonts w:hint="default" w:ascii="Times New Roman" w:hAnsi="Times New Roman" w:eastAsia="方正仿宋_GBK" w:cs="Times New Roman"/>
          <w:sz w:val="32"/>
          <w:szCs w:val="32"/>
          <w:shd w:val="clear" w:color="auto" w:fill="FFFFFF"/>
          <w:lang w:val="en-US" w:eastAsia="zh-CN"/>
        </w:rPr>
        <w:t>2022年度本单位与部门合并编报决算，按照市财政局要求，2023年度独立编报决算，故与上年对比增长100.00%。</w:t>
      </w:r>
    </w:p>
    <w:p>
      <w:pPr>
        <w:pStyle w:val="12"/>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机关运行经费情况说明</w:t>
      </w:r>
    </w:p>
    <w:p>
      <w:pPr>
        <w:pStyle w:val="7"/>
        <w:snapToGrid w:val="0"/>
        <w:spacing w:before="0" w:beforeAutospacing="0" w:after="0" w:afterAutospacing="0" w:line="600" w:lineRule="exact"/>
        <w:ind w:firstLine="640" w:firstLineChars="200"/>
        <w:jc w:val="both"/>
        <w:rPr>
          <w:rStyle w:val="9"/>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截至2023年12月31日，本单位共有车辆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val="en-US" w:eastAsia="zh-CN" w:bidi="ar-SA"/>
        </w:rPr>
        <w:t>2023年度我单位未发生政府采购事项，无相关经费支出。</w:t>
      </w:r>
    </w:p>
    <w:p>
      <w:pPr>
        <w:pStyle w:val="12"/>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firstLine="640" w:firstLineChars="200"/>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预算绩效管理情况说明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25.10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单位自评情况见下表：</w:t>
      </w:r>
    </w:p>
    <w:tbl>
      <w:tblPr>
        <w:tblStyle w:val="10"/>
        <w:tblpPr w:leftFromText="180" w:rightFromText="180" w:vertAnchor="text" w:horzAnchor="page" w:tblpXSpec="center" w:tblpY="274"/>
        <w:tblOverlap w:val="never"/>
        <w:tblW w:w="8198" w:type="dxa"/>
        <w:jc w:val="center"/>
        <w:tblInd w:w="0" w:type="dxa"/>
        <w:tblLayout w:type="fixed"/>
        <w:tblCellMar>
          <w:top w:w="0" w:type="dxa"/>
          <w:left w:w="108" w:type="dxa"/>
          <w:bottom w:w="0" w:type="dxa"/>
          <w:right w:w="108" w:type="dxa"/>
        </w:tblCellMar>
      </w:tblPr>
      <w:tblGrid>
        <w:gridCol w:w="1157"/>
        <w:gridCol w:w="1447"/>
        <w:gridCol w:w="636"/>
        <w:gridCol w:w="897"/>
        <w:gridCol w:w="781"/>
        <w:gridCol w:w="695"/>
        <w:gridCol w:w="911"/>
        <w:gridCol w:w="665"/>
        <w:gridCol w:w="509"/>
        <w:gridCol w:w="500"/>
      </w:tblGrid>
      <w:tr>
        <w:tblPrEx>
          <w:tblLayout w:type="fixed"/>
          <w:tblCellMar>
            <w:top w:w="0" w:type="dxa"/>
            <w:left w:w="108" w:type="dxa"/>
            <w:bottom w:w="0" w:type="dxa"/>
            <w:right w:w="108" w:type="dxa"/>
          </w:tblCellMar>
        </w:tblPrEx>
        <w:trPr>
          <w:trHeight w:val="1276"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项目名称</w:t>
            </w:r>
          </w:p>
        </w:tc>
        <w:tc>
          <w:tcPr>
            <w:tcW w:w="1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指标名称</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指标性质</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指标值</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计量单位</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指标权重</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全年完成值</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指标得分</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说明</w:t>
            </w: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eastAsia="方正黑体_GBK" w:cs="Times New Roman"/>
                <w:color w:val="000000"/>
                <w:kern w:val="0"/>
                <w:sz w:val="22"/>
                <w:lang w:val="en-US" w:eastAsia="zh-CN" w:bidi="ar"/>
              </w:rPr>
            </w:pPr>
            <w:r>
              <w:rPr>
                <w:rFonts w:hint="default" w:ascii="Times New Roman" w:hAnsi="Times New Roman" w:eastAsia="方正黑体_GBK" w:cs="Times New Roman"/>
                <w:color w:val="000000"/>
                <w:kern w:val="0"/>
                <w:sz w:val="22"/>
                <w:lang w:val="en-US" w:eastAsia="zh-CN" w:bidi="ar"/>
              </w:rPr>
              <w:t>自评得分</w:t>
            </w:r>
          </w:p>
        </w:tc>
      </w:tr>
      <w:tr>
        <w:tblPrEx>
          <w:tblLayout w:type="fixed"/>
          <w:tblCellMar>
            <w:top w:w="0" w:type="dxa"/>
            <w:left w:w="108" w:type="dxa"/>
            <w:bottom w:w="0" w:type="dxa"/>
            <w:right w:w="108" w:type="dxa"/>
          </w:tblCellMar>
        </w:tblPrEx>
        <w:trPr>
          <w:trHeight w:val="1140" w:hRule="atLeast"/>
          <w:jc w:val="center"/>
        </w:trPr>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left"/>
              <w:outlineLvl w:val="9"/>
              <w:rPr>
                <w:rFonts w:hint="default" w:ascii="Times New Roman" w:hAnsi="Times New Roman" w:cs="Times New Roman"/>
                <w:color w:val="000000"/>
                <w:sz w:val="22"/>
              </w:rPr>
            </w:pPr>
            <w:r>
              <w:rPr>
                <w:rFonts w:hint="default" w:ascii="Times New Roman" w:hAnsi="Times New Roman" w:cs="Times New Roman"/>
                <w:color w:val="000000"/>
                <w:sz w:val="22"/>
              </w:rPr>
              <w:t>公共交易专项业务支出</w:t>
            </w:r>
          </w:p>
        </w:tc>
        <w:tc>
          <w:tcPr>
            <w:tcW w:w="1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sz w:val="24"/>
                <w:szCs w:val="24"/>
              </w:rPr>
              <w:t>交易成交金额</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亿元</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28.10</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30</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r>
      <w:tr>
        <w:tblPrEx>
          <w:tblLayout w:type="fixed"/>
          <w:tblCellMar>
            <w:top w:w="0" w:type="dxa"/>
            <w:left w:w="108" w:type="dxa"/>
            <w:bottom w:w="0" w:type="dxa"/>
            <w:right w:w="108" w:type="dxa"/>
          </w:tblCellMar>
        </w:tblPrEx>
        <w:trPr>
          <w:trHeight w:val="670" w:hRule="atLeast"/>
          <w:jc w:val="center"/>
        </w:trPr>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left"/>
              <w:outlineLvl w:val="9"/>
              <w:rPr>
                <w:rFonts w:hint="default" w:ascii="Times New Roman" w:hAnsi="Times New Roman" w:cs="Times New Roman"/>
                <w:color w:val="000000"/>
                <w:sz w:val="22"/>
              </w:rPr>
            </w:pPr>
          </w:p>
        </w:tc>
        <w:tc>
          <w:tcPr>
            <w:tcW w:w="1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服务质量达标率</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95</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95</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r>
      <w:tr>
        <w:tblPrEx>
          <w:tblLayout w:type="fixed"/>
          <w:tblCellMar>
            <w:top w:w="0" w:type="dxa"/>
            <w:left w:w="108" w:type="dxa"/>
            <w:bottom w:w="0" w:type="dxa"/>
            <w:right w:w="108" w:type="dxa"/>
          </w:tblCellMar>
        </w:tblPrEx>
        <w:trPr>
          <w:trHeight w:val="655" w:hRule="atLeast"/>
          <w:jc w:val="center"/>
        </w:trPr>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left"/>
              <w:outlineLvl w:val="9"/>
              <w:rPr>
                <w:rFonts w:hint="default" w:ascii="Times New Roman" w:hAnsi="Times New Roman" w:cs="Times New Roman"/>
                <w:color w:val="000000"/>
                <w:sz w:val="22"/>
              </w:rPr>
            </w:pPr>
          </w:p>
        </w:tc>
        <w:tc>
          <w:tcPr>
            <w:tcW w:w="1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sz w:val="24"/>
                <w:szCs w:val="24"/>
              </w:rPr>
              <w:t>经费不超预算</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sz w:val="24"/>
                <w:szCs w:val="24"/>
              </w:rPr>
              <w:t>≤</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30</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r>
      <w:tr>
        <w:tblPrEx>
          <w:tblLayout w:type="fixed"/>
          <w:tblCellMar>
            <w:top w:w="0" w:type="dxa"/>
            <w:left w:w="108" w:type="dxa"/>
            <w:bottom w:w="0" w:type="dxa"/>
            <w:right w:w="108" w:type="dxa"/>
          </w:tblCellMar>
        </w:tblPrEx>
        <w:trPr>
          <w:trHeight w:val="640" w:hRule="atLeast"/>
          <w:jc w:val="center"/>
        </w:trPr>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left"/>
              <w:outlineLvl w:val="9"/>
              <w:rPr>
                <w:rFonts w:hint="default" w:ascii="Times New Roman" w:hAnsi="Times New Roman" w:cs="Times New Roman"/>
                <w:color w:val="000000"/>
                <w:sz w:val="22"/>
              </w:rPr>
            </w:pPr>
          </w:p>
        </w:tc>
        <w:tc>
          <w:tcPr>
            <w:tcW w:w="1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预算执行率</w:t>
            </w:r>
          </w:p>
        </w:tc>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eastAsia="宋体" w:cs="Times New Roman"/>
                <w:color w:val="000000"/>
                <w:sz w:val="22"/>
                <w:lang w:eastAsia="zh-CN"/>
              </w:rPr>
            </w:pPr>
            <w:r>
              <w:rPr>
                <w:rFonts w:hint="default" w:ascii="Times New Roman" w:hAnsi="Times New Roman" w:cs="Times New Roman"/>
                <w:color w:val="000000"/>
                <w:sz w:val="22"/>
                <w:lang w:val="en-US" w:eastAsia="zh-CN"/>
              </w:rPr>
              <w:t>=</w:t>
            </w:r>
          </w:p>
        </w:tc>
        <w:tc>
          <w:tcPr>
            <w:tcW w:w="8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100</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lang w:val="en-US"/>
              </w:rPr>
            </w:pPr>
            <w:r>
              <w:rPr>
                <w:rFonts w:hint="default" w:ascii="Times New Roman" w:hAnsi="Times New Roman" w:eastAsia="宋体" w:cs="Times New Roman"/>
                <w:i w:val="0"/>
                <w:color w:val="000000"/>
                <w:kern w:val="0"/>
                <w:sz w:val="22"/>
                <w:szCs w:val="22"/>
                <w:u w:val="none"/>
                <w:lang w:val="en-US" w:eastAsia="zh-CN" w:bidi="ar"/>
              </w:rPr>
              <w:t>10</w:t>
            </w:r>
          </w:p>
        </w:tc>
        <w:tc>
          <w:tcPr>
            <w:tcW w:w="5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p>
        </w:tc>
        <w:tc>
          <w:tcPr>
            <w:tcW w:w="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outlineLvl w:val="9"/>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w:t>
            </w:r>
          </w:p>
        </w:tc>
      </w:tr>
    </w:tbl>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w:t>
      </w:r>
      <w:r>
        <w:rPr>
          <w:rFonts w:hint="default" w:ascii="Times New Roman" w:hAnsi="Times New Roman" w:eastAsia="方正楷体_GBK" w:cs="Times New Roman"/>
          <w:b w:val="0"/>
          <w:bCs w:val="0"/>
          <w:sz w:val="32"/>
          <w:szCs w:val="32"/>
          <w:shd w:val="clear" w:color="auto" w:fill="FFFFFF"/>
          <w:lang w:eastAsia="zh-CN" w:bidi="ar"/>
        </w:rPr>
        <w:t>单位</w:t>
      </w:r>
      <w:r>
        <w:rPr>
          <w:rFonts w:hint="default" w:ascii="Times New Roman" w:hAnsi="Times New Roman" w:eastAsia="方正楷体_GBK" w:cs="Times New Roman"/>
          <w:b w:val="0"/>
          <w:bCs w:val="0"/>
          <w:sz w:val="32"/>
          <w:szCs w:val="32"/>
          <w:shd w:val="clear" w:color="auto" w:fill="FFFFFF"/>
          <w:lang w:bidi="ar"/>
        </w:rPr>
        <w:t>绩效评价情况</w:t>
      </w:r>
    </w:p>
    <w:p>
      <w:pPr>
        <w:pStyle w:val="18"/>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default" w:ascii="Times New Roman" w:hAnsi="Times New Roman" w:eastAsia="方正黑体_GBK" w:cs="Times New Roman"/>
          <w:b w:val="0"/>
          <w:bCs/>
          <w:sz w:val="32"/>
          <w:szCs w:val="32"/>
          <w:shd w:val="clear" w:color="auto" w:fill="FFFFFF"/>
          <w:lang w:val="en-US" w:eastAsia="zh-CN"/>
        </w:rPr>
        <w:t>六、专业名词解释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 （一）财政拨款收入：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 （十五）商品和服务支出（支出经济分类科目类级）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 （十六）对个人和家庭的补助（支出经济分类科目类级）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2"/>
        <w:autoSpaceDE w:val="0"/>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2"/>
        <w:autoSpaceDE w:val="0"/>
        <w:ind w:firstLine="640" w:firstLineChars="200"/>
        <w:rPr>
          <w:rStyle w:val="9"/>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lang w:val="en-US" w:eastAsia="zh-CN"/>
        </w:rPr>
        <w:t>联系人：刘先毅   联系电话：023-76666019</w:t>
      </w:r>
    </w:p>
    <w:p>
      <w:pPr>
        <w:rPr>
          <w:rFonts w:hint="default" w:ascii="Times New Roman" w:hAnsi="Times New Roman" w:cs="Times New Roman"/>
          <w:sz w:val="21"/>
          <w:szCs w:val="21"/>
        </w:rPr>
      </w:pPr>
    </w:p>
    <w:tbl>
      <w:tblPr>
        <w:tblStyle w:val="10"/>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重庆市秀山土家族苗族自治县公共资源综合交易管理事务中心</w:t>
            </w: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231.08</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179.91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231.08</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231.08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231.08</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231.08</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220" w:type="dxa"/>
        <w:tblInd w:w="0" w:type="dxa"/>
        <w:tblLayout w:type="fixed"/>
        <w:tblCellMar>
          <w:top w:w="0" w:type="dxa"/>
          <w:left w:w="0" w:type="dxa"/>
          <w:bottom w:w="0" w:type="dxa"/>
          <w:right w:w="0" w:type="dxa"/>
        </w:tblCellMar>
      </w:tblPr>
      <w:tblGrid>
        <w:gridCol w:w="1685"/>
        <w:gridCol w:w="3138"/>
        <w:gridCol w:w="1220"/>
        <w:gridCol w:w="1221"/>
        <w:gridCol w:w="1220"/>
        <w:gridCol w:w="1220"/>
        <w:gridCol w:w="1352"/>
        <w:gridCol w:w="1294"/>
        <w:gridCol w:w="1424"/>
        <w:gridCol w:w="1446"/>
      </w:tblGrid>
      <w:tr>
        <w:tblPrEx>
          <w:tblLayout w:type="fixed"/>
          <w:tblCellMar>
            <w:top w:w="0" w:type="dxa"/>
            <w:left w:w="0" w:type="dxa"/>
            <w:bottom w:w="0" w:type="dxa"/>
            <w:right w:w="0" w:type="dxa"/>
          </w:tblCellMar>
        </w:tblPrEx>
        <w:trPr>
          <w:trHeight w:val="562" w:hRule="atLeast"/>
        </w:trPr>
        <w:tc>
          <w:tcPr>
            <w:tcW w:w="15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289" w:hRule="atLeast"/>
        </w:trPr>
        <w:tc>
          <w:tcPr>
            <w:tcW w:w="604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重庆市秀山土家族苗族自治县公共资源综合交易管理事务中心</w:t>
            </w:r>
          </w:p>
        </w:tc>
        <w:tc>
          <w:tcPr>
            <w:tcW w:w="122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289" w:hRule="atLeast"/>
        </w:trPr>
        <w:tc>
          <w:tcPr>
            <w:tcW w:w="604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85" w:hRule="atLeast"/>
        </w:trPr>
        <w:tc>
          <w:tcPr>
            <w:tcW w:w="482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12" w:hRule="atLeast"/>
        </w:trPr>
        <w:tc>
          <w:tcPr>
            <w:tcW w:w="16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3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6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3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6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3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6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3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6" w:hRule="atLeast"/>
        </w:trPr>
        <w:tc>
          <w:tcPr>
            <w:tcW w:w="482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231.08</w:t>
            </w:r>
            <w:r>
              <w:rPr>
                <w:rFonts w:hint="default" w:ascii="Times New Roman" w:hAnsi="Times New Roman" w:cs="Times New Roman"/>
                <w:b/>
                <w:color w:val="000000"/>
                <w:sz w:val="20"/>
                <w:u w:color="auto"/>
              </w:rPr>
              <w:t xml:space="preserve"> </w:t>
            </w:r>
          </w:p>
        </w:tc>
        <w:tc>
          <w:tcPr>
            <w:tcW w:w="12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231.08</w:t>
            </w:r>
            <w:r>
              <w:rPr>
                <w:rFonts w:hint="default" w:ascii="Times New Roman" w:hAnsi="Times New Roman" w:cs="Times New Roman"/>
                <w:b/>
                <w:color w:val="000000"/>
                <w:sz w:val="20"/>
                <w:u w:color="auto"/>
              </w:rPr>
              <w:t xml:space="preserve"> </w:t>
            </w:r>
          </w:p>
        </w:tc>
        <w:tc>
          <w:tcPr>
            <w:tcW w:w="12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150.80</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150.80</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2010499</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其他发展与改革事务支出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29.12</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29.12</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25.26</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25.26</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24.96</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24.96</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571"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17.90</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17.90</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7.06</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7.06</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15"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23"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tbl>
      <w:tblPr>
        <w:tblStyle w:val="10"/>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重庆市秀山土家族苗族自治县公共资源综合交易管理事务中心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231.08</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201.97</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29.12</w:t>
            </w: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150.80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29.12</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150.80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29.12</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150.80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150.80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其他发展与改革事务支出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29.12</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25.26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24.96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rPr>
          <w:rFonts w:hint="default" w:ascii="Times New Roman" w:hAnsi="Times New Roman" w:cs="Times New Roman"/>
          <w:sz w:val="21"/>
          <w:szCs w:val="21"/>
        </w:rPr>
      </w:pPr>
    </w:p>
    <w:tbl>
      <w:tblPr>
        <w:tblStyle w:val="10"/>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重庆市秀山土家族苗族自治县公共资源综合交易管理事务中心</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179.91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179.91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10.10</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10.10</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231.08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重庆市秀山土家族苗族自治县公共资源综合交易管理事务中心</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231.08</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201.97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29.12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150.80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20104</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发展与改革事务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179.91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150.80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29.12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2010450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150.80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150.80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2010499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其他发展与改革事务支出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29.12</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29.12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25.26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25.26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24.96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24.96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17.90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17.90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重庆市秀山土家族苗族自治县公共资源综合交易管理事务中心</w:t>
            </w: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182.44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47.16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74.81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0.29</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182.44</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19.53</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重庆市秀山土家族苗族自治县公共资源综合交易管理事务中心</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重庆市秀山土家族苗族自治县公共资源综合交易管理事务中心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重庆市秀山土家族苗族自治县公共资源综合交易管理事务中心</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0.20</w:t>
            </w: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0.20</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0.20</w:t>
            </w: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0.20</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0.20</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25</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0.76</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abstractNum w:abstractNumId="1">
    <w:nsid w:val="E8E9DCCB"/>
    <w:multiLevelType w:val="singleLevel"/>
    <w:tmpl w:val="E8E9DCCB"/>
    <w:lvl w:ilvl="0" w:tentative="0">
      <w:start w:val="2"/>
      <w:numFmt w:val="chineseCounting"/>
      <w:suff w:val="nothing"/>
      <w:lvlText w:val="%1、"/>
      <w:lvlJc w:val="left"/>
      <w:rPr>
        <w:rFonts w:hint="eastAsia"/>
      </w:rPr>
    </w:lvl>
  </w:abstractNum>
  <w:abstractNum w:abstractNumId="2">
    <w:nsid w:val="13FC6729"/>
    <w:multiLevelType w:val="singleLevel"/>
    <w:tmpl w:val="13FC672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85861F6"/>
    <w:rsid w:val="29310A5F"/>
    <w:rsid w:val="29C37A35"/>
    <w:rsid w:val="2A076083"/>
    <w:rsid w:val="2A3D6F71"/>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A966FB"/>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195C55"/>
    <w:rsid w:val="68407834"/>
    <w:rsid w:val="6883293E"/>
    <w:rsid w:val="688412AD"/>
    <w:rsid w:val="68EB1B71"/>
    <w:rsid w:val="6A6C7940"/>
    <w:rsid w:val="6AAD2300"/>
    <w:rsid w:val="6B474EF5"/>
    <w:rsid w:val="6C0A5AC5"/>
    <w:rsid w:val="6C560CAE"/>
    <w:rsid w:val="6C576495"/>
    <w:rsid w:val="6D903FF5"/>
    <w:rsid w:val="6DA955B8"/>
    <w:rsid w:val="6DE346AB"/>
    <w:rsid w:val="6DE5391A"/>
    <w:rsid w:val="6E510FF1"/>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Default"/>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2</TotalTime>
  <ScaleCrop>false</ScaleCrop>
  <LinksUpToDate>false</LinksUpToDate>
  <CharactersWithSpaces>26759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2024-10-08T09:15:29Z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