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Times New Roman" w:hAnsi="Times New Roman" w:eastAsia="方正小标宋_GBK" w:cs="Times New Roman"/>
          <w:sz w:val="44"/>
          <w:szCs w:val="44"/>
          <w:lang w:eastAsia="zh-CN"/>
        </w:rPr>
      </w:pPr>
      <w:r>
        <w:rPr>
          <w:rFonts w:hint="eastAsia" w:ascii="Times New Roman" w:hAnsi="Times New Roman" w:eastAsia="方正小标宋_GBK" w:cs="Times New Roman"/>
          <w:sz w:val="44"/>
          <w:szCs w:val="44"/>
          <w:lang w:eastAsia="zh-CN"/>
        </w:rPr>
        <w:t>重庆市</w:t>
      </w:r>
      <w:r>
        <w:rPr>
          <w:rFonts w:hint="default" w:ascii="Times New Roman" w:hAnsi="Times New Roman" w:eastAsia="方正小标宋_GBK" w:cs="Times New Roman"/>
          <w:sz w:val="44"/>
          <w:szCs w:val="44"/>
          <w:lang w:eastAsia="zh-CN"/>
        </w:rPr>
        <w:t>秀山土家族苗族自治县发展和改革委员会2023年度决算公开说明</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Times New Roman" w:hAnsi="Times New Roman" w:eastAsia="方正小标宋_GBK" w:cs="Times New Roman"/>
          <w:sz w:val="44"/>
          <w:szCs w:val="44"/>
          <w:shd w:val="clear" w:color="auto" w:fill="FFFFFF"/>
        </w:rPr>
      </w:pPr>
    </w:p>
    <w:p>
      <w:pPr>
        <w:pStyle w:val="7"/>
        <w:keepNext w:val="0"/>
        <w:keepLines w:val="0"/>
        <w:pageBreakBefore w:val="0"/>
        <w:widowControl/>
        <w:kinsoku/>
        <w:overflowPunct/>
        <w:topLinePunct w:val="0"/>
        <w:autoSpaceDN/>
        <w:bidi w:val="0"/>
        <w:adjustRightInd/>
        <w:spacing w:before="0" w:beforeAutospacing="0" w:after="0" w:afterAutospacing="0" w:line="560" w:lineRule="exact"/>
        <w:jc w:val="center"/>
        <w:rPr>
          <w:rFonts w:hint="default" w:ascii="Times New Roman" w:hAnsi="Times New Roman" w:eastAsia="方正小标宋_GBK" w:cs="Times New Roman"/>
          <w:sz w:val="36"/>
          <w:szCs w:val="36"/>
          <w:shd w:val="clear" w:color="auto" w:fill="FFFFFF"/>
        </w:rPr>
      </w:pP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黑体_GBK" w:cs="Times New Roman"/>
          <w:b w:val="0"/>
          <w:bCs/>
          <w:sz w:val="32"/>
          <w:szCs w:val="32"/>
          <w:highlight w:val="yellow"/>
          <w:lang w:eastAsia="zh-CN"/>
        </w:rPr>
      </w:pPr>
      <w:r>
        <w:rPr>
          <w:rStyle w:val="9"/>
          <w:rFonts w:hint="default" w:ascii="Times New Roman" w:hAnsi="Times New Roman" w:eastAsia="方正黑体_GBK" w:cs="Times New Roman"/>
          <w:b w:val="0"/>
          <w:bCs/>
          <w:sz w:val="32"/>
          <w:szCs w:val="32"/>
          <w:shd w:val="clear" w:color="auto" w:fill="FFFFFF"/>
        </w:rPr>
        <w:t>一、</w:t>
      </w:r>
      <w:r>
        <w:rPr>
          <w:rStyle w:val="9"/>
          <w:rFonts w:hint="eastAsia" w:ascii="Times New Roman" w:hAnsi="Times New Roman" w:eastAsia="方正黑体_GBK" w:cs="Times New Roman"/>
          <w:b w:val="0"/>
          <w:bCs/>
          <w:sz w:val="32"/>
          <w:szCs w:val="32"/>
          <w:shd w:val="clear" w:color="auto" w:fill="FFFFFF"/>
          <w:lang w:eastAsia="zh-CN"/>
        </w:rPr>
        <w:t>部门</w:t>
      </w:r>
      <w:r>
        <w:rPr>
          <w:rStyle w:val="9"/>
          <w:rFonts w:hint="default" w:ascii="Times New Roman" w:hAnsi="Times New Roman" w:eastAsia="方正黑体_GBK" w:cs="Times New Roman"/>
          <w:b w:val="0"/>
          <w:bCs/>
          <w:sz w:val="32"/>
          <w:szCs w:val="32"/>
          <w:shd w:val="clear" w:color="auto" w:fill="FFFFFF"/>
        </w:rPr>
        <w:t>基本情况</w:t>
      </w:r>
      <w:bookmarkStart w:id="0" w:name="_GoBack"/>
      <w:bookmarkEnd w:id="0"/>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楷体_GBK" w:cs="Times New Roman"/>
          <w:i w:val="0"/>
          <w:iCs w:val="0"/>
          <w:caps w:val="0"/>
          <w:color w:val="333333"/>
          <w:spacing w:val="0"/>
          <w:sz w:val="32"/>
          <w:szCs w:val="32"/>
          <w:shd w:val="clear" w:fill="FFFFFF"/>
        </w:rPr>
      </w:pPr>
      <w:r>
        <w:rPr>
          <w:rFonts w:hint="default" w:ascii="Times New Roman" w:hAnsi="Times New Roman" w:eastAsia="方正楷体_GBK" w:cs="Times New Roman"/>
          <w:i w:val="0"/>
          <w:iCs w:val="0"/>
          <w:caps w:val="0"/>
          <w:color w:val="333333"/>
          <w:spacing w:val="0"/>
          <w:sz w:val="32"/>
          <w:szCs w:val="32"/>
          <w:shd w:val="clear" w:fill="FFFFFF"/>
        </w:rPr>
        <w:t>（</w:t>
      </w:r>
      <w:r>
        <w:rPr>
          <w:rFonts w:hint="default" w:ascii="Times New Roman" w:hAnsi="Times New Roman" w:eastAsia="方正楷体_GBK" w:cs="Times New Roman"/>
          <w:i w:val="0"/>
          <w:iCs w:val="0"/>
          <w:caps w:val="0"/>
          <w:color w:val="333333"/>
          <w:spacing w:val="0"/>
          <w:sz w:val="32"/>
          <w:szCs w:val="32"/>
          <w:shd w:val="clear" w:fill="FFFFFF"/>
          <w:lang w:val="en-US" w:eastAsia="zh-CN"/>
        </w:rPr>
        <w:t>一</w:t>
      </w:r>
      <w:r>
        <w:rPr>
          <w:rFonts w:hint="default" w:ascii="Times New Roman" w:hAnsi="Times New Roman" w:eastAsia="方正楷体_GBK" w:cs="Times New Roman"/>
          <w:i w:val="0"/>
          <w:iCs w:val="0"/>
          <w:caps w:val="0"/>
          <w:color w:val="333333"/>
          <w:spacing w:val="0"/>
          <w:sz w:val="32"/>
          <w:szCs w:val="32"/>
          <w:shd w:val="clear" w:fill="FFFFFF"/>
        </w:rPr>
        <w:t>）</w:t>
      </w:r>
      <w:r>
        <w:rPr>
          <w:rFonts w:hint="default" w:ascii="Times New Roman" w:hAnsi="Times New Roman" w:eastAsia="方正楷体_GBK" w:cs="Times New Roman"/>
          <w:i w:val="0"/>
          <w:iCs w:val="0"/>
          <w:caps w:val="0"/>
          <w:color w:val="333333"/>
          <w:spacing w:val="0"/>
          <w:sz w:val="32"/>
          <w:szCs w:val="32"/>
          <w:shd w:val="clear" w:fill="FFFFFF"/>
          <w:lang w:val="en-US" w:eastAsia="zh-CN"/>
        </w:rPr>
        <w:t>职能职责</w:t>
      </w:r>
    </w:p>
    <w:p>
      <w:pPr>
        <w:widowControl w:val="0"/>
        <w:numPr>
          <w:ilvl w:val="0"/>
          <w:numId w:val="0"/>
        </w:numPr>
        <w:autoSpaceDE w:val="0"/>
        <w:autoSpaceDN w:val="0"/>
        <w:spacing w:before="29" w:beforeLines="0" w:line="560" w:lineRule="atLeast"/>
        <w:ind w:firstLine="640" w:firstLineChars="200"/>
        <w:jc w:val="both"/>
        <w:rPr>
          <w:rFonts w:hint="default" w:ascii="Times New Roman" w:hAnsi="Times New Roman" w:eastAsia="方正仿宋_GBK" w:cs="Times New Roman"/>
          <w:color w:val="000000"/>
          <w:spacing w:val="-1"/>
          <w:sz w:val="32"/>
          <w:lang w:val="zh-CN"/>
        </w:rPr>
      </w:pPr>
      <w:r>
        <w:rPr>
          <w:rFonts w:hint="default" w:ascii="Times New Roman" w:hAnsi="Times New Roman" w:eastAsia="方正仿宋_GBK" w:cs="Times New Roman"/>
          <w:kern w:val="2"/>
          <w:sz w:val="32"/>
          <w:szCs w:val="32"/>
          <w:lang w:val="en-US" w:eastAsia="zh-CN" w:bidi="ar-SA"/>
        </w:rPr>
        <w:t>1.</w:t>
      </w:r>
      <w:r>
        <w:rPr>
          <w:rFonts w:hint="default" w:ascii="Times New Roman" w:hAnsi="Times New Roman" w:eastAsia="方正仿宋_GBK" w:cs="Times New Roman"/>
          <w:color w:val="000000"/>
          <w:spacing w:val="-1"/>
          <w:sz w:val="32"/>
          <w:lang w:val="zh-CN"/>
        </w:rPr>
        <w:t>拟订并组织实施全县国民经济和社会发展战略、中长期规划和年度计划。统筹协调经济社会发展，研究提出发展总量平衡、结构调整、发展速度等目标和政策建议，统筹推进全县生产力布局和财政、金融、产业、区域、土地、人口、环境等政策实施。受县政府委托向县人大提交国民经济和社会发展计划报告。</w:t>
      </w:r>
    </w:p>
    <w:p>
      <w:pPr>
        <w:widowControl w:val="0"/>
        <w:autoSpaceDE w:val="0"/>
        <w:autoSpaceDN w:val="0"/>
        <w:spacing w:before="29" w:beforeLines="0" w:line="560" w:lineRule="atLeast"/>
        <w:ind w:firstLine="636"/>
        <w:jc w:val="both"/>
        <w:rPr>
          <w:rFonts w:hint="default" w:ascii="Times New Roman" w:hAnsi="Times New Roman" w:eastAsia="方正仿宋_GBK" w:cs="Times New Roman"/>
          <w:color w:val="000000"/>
          <w:spacing w:val="-1"/>
          <w:sz w:val="32"/>
          <w:lang w:val="zh-CN"/>
        </w:rPr>
      </w:pPr>
      <w:r>
        <w:rPr>
          <w:rFonts w:hint="default" w:ascii="Times New Roman" w:hAnsi="Times New Roman" w:eastAsia="方正仿宋_GBK" w:cs="Times New Roman"/>
          <w:color w:val="000000"/>
          <w:spacing w:val="-1"/>
          <w:sz w:val="32"/>
          <w:lang w:val="en-US" w:eastAsia="zh-CN"/>
        </w:rPr>
        <w:t>2.</w:t>
      </w:r>
      <w:r>
        <w:rPr>
          <w:rFonts w:hint="default" w:ascii="Times New Roman" w:hAnsi="Times New Roman" w:eastAsia="方正仿宋_GBK" w:cs="Times New Roman"/>
          <w:color w:val="000000"/>
          <w:spacing w:val="-1"/>
          <w:sz w:val="32"/>
          <w:lang w:val="zh-CN"/>
        </w:rPr>
        <w:t>统筹提出国民经济和社会发展主要目标，监测预测预警宏观经济和社会发展态势趋势，提出宏观调控政策建议。综合协调宏观经济政策，牵头研究宏观经济应对措施。研究经济运行中的重大问题并提出宏观政策建议，协调解决经济运行中的重大问题。</w:t>
      </w:r>
    </w:p>
    <w:p>
      <w:pPr>
        <w:widowControl w:val="0"/>
        <w:autoSpaceDE w:val="0"/>
        <w:autoSpaceDN w:val="0"/>
        <w:spacing w:before="29" w:beforeLines="0" w:line="560" w:lineRule="atLeast"/>
        <w:ind w:firstLine="636"/>
        <w:jc w:val="both"/>
        <w:rPr>
          <w:rFonts w:hint="default" w:ascii="Times New Roman" w:hAnsi="Times New Roman" w:eastAsia="方正仿宋_GBK" w:cs="Times New Roman"/>
          <w:color w:val="000000"/>
          <w:spacing w:val="-1"/>
          <w:sz w:val="32"/>
          <w:lang w:val="zh-CN"/>
        </w:rPr>
      </w:pPr>
      <w:r>
        <w:rPr>
          <w:rFonts w:hint="default" w:ascii="Times New Roman" w:hAnsi="Times New Roman" w:eastAsia="方正仿宋_GBK" w:cs="Times New Roman"/>
          <w:color w:val="000000"/>
          <w:spacing w:val="-1"/>
          <w:sz w:val="32"/>
          <w:lang w:val="en-US" w:eastAsia="zh-CN"/>
        </w:rPr>
        <w:t>3.</w:t>
      </w:r>
      <w:r>
        <w:rPr>
          <w:rFonts w:hint="default" w:ascii="Times New Roman" w:hAnsi="Times New Roman" w:eastAsia="方正仿宋_GBK" w:cs="Times New Roman"/>
          <w:color w:val="000000"/>
          <w:spacing w:val="-1"/>
          <w:sz w:val="32"/>
          <w:lang w:val="zh-CN"/>
        </w:rPr>
        <w:t>指导推进和综合协调经济体制改革有关工作，提出相关改革建议。牵头推进供给侧结构性改革。协调推进产权制度和要素市场化配置改革。推动完善现代市场体系建设，会同相关部门组织实施市场准入负面清单制度。研究经济体制改革的问题并提出政策建议。拟订并组织实施综合性经济体制改革方案及有关专项改革方案，会同有关部门做好重要专项改革之间的衔接。</w:t>
      </w:r>
    </w:p>
    <w:p>
      <w:pPr>
        <w:widowControl w:val="0"/>
        <w:autoSpaceDE w:val="0"/>
        <w:autoSpaceDN w:val="0"/>
        <w:spacing w:before="29" w:beforeLines="0" w:line="560" w:lineRule="atLeast"/>
        <w:jc w:val="both"/>
        <w:rPr>
          <w:rFonts w:hint="default" w:ascii="Times New Roman" w:hAnsi="Times New Roman" w:eastAsia="方正仿宋_GBK" w:cs="Times New Roman"/>
          <w:color w:val="000000"/>
          <w:spacing w:val="-1"/>
          <w:sz w:val="32"/>
          <w:lang w:val="zh-CN"/>
        </w:rPr>
      </w:pPr>
      <w:r>
        <w:rPr>
          <w:rFonts w:hint="default" w:ascii="Times New Roman" w:hAnsi="Times New Roman" w:eastAsia="方正仿宋_GBK" w:cs="Times New Roman"/>
          <w:color w:val="000000"/>
          <w:spacing w:val="-1"/>
          <w:sz w:val="32"/>
          <w:lang w:val="en-US" w:eastAsia="zh-CN"/>
        </w:rPr>
        <w:t xml:space="preserve">    4.</w:t>
      </w:r>
      <w:r>
        <w:rPr>
          <w:rFonts w:hint="default" w:ascii="Times New Roman" w:hAnsi="Times New Roman" w:eastAsia="方正仿宋_GBK" w:cs="Times New Roman"/>
          <w:color w:val="000000"/>
          <w:spacing w:val="-1"/>
          <w:sz w:val="32"/>
          <w:lang w:val="zh-CN"/>
        </w:rPr>
        <w:t>负责投资综合管理，研究提出全县经济建设和投融资政策，拟订全县固定资产投资总规模，规划重大项目和生产力布局，衔接平衡各种资金来源。安排县政府财政性建设资金、项目。负责审批或编报政府投资基本建设项目。核准或审查企业投资限制类基本建设项目。拟订全县固定资产投资计划、重点建设项目计划、技术创新项目计划和利用国外各类贷款项目计划并组织实施。指导和监督国外贷款建设资金的利用、使用，向国家政策性银行及商业银行推荐申贷项目，引导民间资金用于固定资产投资方向。统筹推进全县优化营商环境工作。承担招商投资促进工作。</w:t>
      </w:r>
    </w:p>
    <w:p>
      <w:pPr>
        <w:widowControl w:val="0"/>
        <w:autoSpaceDE w:val="0"/>
        <w:autoSpaceDN w:val="0"/>
        <w:spacing w:before="29" w:beforeLines="0" w:line="560" w:lineRule="atLeast"/>
        <w:ind w:firstLine="636"/>
        <w:jc w:val="both"/>
        <w:rPr>
          <w:rFonts w:hint="default" w:ascii="Times New Roman" w:hAnsi="Times New Roman" w:eastAsia="??_GB2312" w:cs="Times New Roman"/>
          <w:b/>
          <w:color w:val="FF0000"/>
          <w:sz w:val="32"/>
          <w:lang w:val="en-US"/>
        </w:rPr>
      </w:pPr>
      <w:r>
        <w:rPr>
          <w:rFonts w:hint="default" w:ascii="Times New Roman" w:hAnsi="Times New Roman" w:eastAsia="方正仿宋_GBK" w:cs="Times New Roman"/>
          <w:color w:val="000000"/>
          <w:spacing w:val="-1"/>
          <w:sz w:val="32"/>
          <w:lang w:val="en-US" w:eastAsia="zh-CN"/>
        </w:rPr>
        <w:t>5.</w:t>
      </w:r>
      <w:r>
        <w:rPr>
          <w:rFonts w:hint="default" w:ascii="Times New Roman" w:hAnsi="Times New Roman" w:eastAsia="方正仿宋_GBK" w:cs="Times New Roman"/>
          <w:color w:val="000000"/>
          <w:spacing w:val="-1"/>
          <w:sz w:val="32"/>
          <w:lang w:val="zh-CN"/>
        </w:rPr>
        <w:t>研究提出全县政府投资建设项目招标投标的政策措施，负责全县工程建设项目招投标活动的综合协调、指导和监督检查；负责核准招标建设项目的招标方案，负责全县重大建设项目建设过程中的工程招投标监督检查</w:t>
      </w:r>
      <w:r>
        <w:rPr>
          <w:rFonts w:hint="default" w:ascii="Times New Roman" w:hAnsi="Times New Roman" w:eastAsia="方正仿宋_GBK" w:cs="Times New Roman"/>
          <w:color w:val="auto"/>
          <w:sz w:val="32"/>
          <w:lang w:val="zh-CN"/>
        </w:rPr>
        <w:t>；牵头承担全县公共资源交易监管，会同有关行政监督部门按照规定的职责分工实施监督、管理和执法。</w:t>
      </w:r>
    </w:p>
    <w:p>
      <w:pPr>
        <w:widowControl w:val="0"/>
        <w:autoSpaceDE w:val="0"/>
        <w:autoSpaceDN w:val="0"/>
        <w:spacing w:before="29" w:beforeLines="0" w:line="560" w:lineRule="atLeast"/>
        <w:ind w:firstLine="636"/>
        <w:jc w:val="both"/>
        <w:rPr>
          <w:rFonts w:hint="default" w:ascii="Times New Roman" w:hAnsi="Times New Roman" w:eastAsia="方正仿宋_GBK" w:cs="Times New Roman"/>
          <w:color w:val="000000"/>
          <w:spacing w:val="-1"/>
          <w:sz w:val="32"/>
          <w:lang w:val="zh-CN"/>
        </w:rPr>
      </w:pPr>
      <w:r>
        <w:rPr>
          <w:rFonts w:hint="default" w:ascii="Times New Roman" w:hAnsi="Times New Roman" w:eastAsia="方正仿宋_GBK" w:cs="Times New Roman"/>
          <w:color w:val="000000"/>
          <w:spacing w:val="-1"/>
          <w:sz w:val="32"/>
          <w:lang w:val="en-US" w:eastAsia="zh-CN"/>
        </w:rPr>
        <w:t>6.</w:t>
      </w:r>
      <w:r>
        <w:rPr>
          <w:rFonts w:hint="default" w:ascii="Times New Roman" w:hAnsi="Times New Roman" w:eastAsia="方正仿宋_GBK" w:cs="Times New Roman"/>
          <w:color w:val="000000"/>
          <w:spacing w:val="-1"/>
          <w:sz w:val="32"/>
          <w:lang w:val="zh-CN"/>
        </w:rPr>
        <w:t>会同有关部门研究提出重点产业、高新技术产业发展战略和政策措施，拟订并组织实施重点产业、高新技术产业发展中长期规划和年度计划。审批或编报高新技术产业化项目，牵头协调全县高新技术产业化工作。</w:t>
      </w:r>
    </w:p>
    <w:p>
      <w:pPr>
        <w:widowControl w:val="0"/>
        <w:autoSpaceDE w:val="0"/>
        <w:autoSpaceDN w:val="0"/>
        <w:spacing w:before="29" w:beforeLines="0" w:line="560" w:lineRule="atLeast"/>
        <w:ind w:firstLine="636"/>
        <w:jc w:val="both"/>
        <w:rPr>
          <w:rFonts w:hint="default" w:ascii="Times New Roman" w:hAnsi="Times New Roman" w:eastAsia="方正仿宋_GBK" w:cs="Times New Roman"/>
          <w:color w:val="000000"/>
          <w:spacing w:val="-1"/>
          <w:sz w:val="32"/>
          <w:lang w:val="zh-CN"/>
        </w:rPr>
      </w:pPr>
      <w:r>
        <w:rPr>
          <w:rFonts w:hint="default" w:ascii="Times New Roman" w:hAnsi="Times New Roman" w:eastAsia="方正仿宋_GBK" w:cs="Times New Roman"/>
          <w:color w:val="000000"/>
          <w:spacing w:val="-1"/>
          <w:sz w:val="32"/>
          <w:lang w:val="en-US" w:eastAsia="zh-CN"/>
        </w:rPr>
        <w:t>7.</w:t>
      </w:r>
      <w:r>
        <w:rPr>
          <w:rFonts w:hint="default" w:ascii="Times New Roman" w:hAnsi="Times New Roman" w:eastAsia="方正仿宋_GBK" w:cs="Times New Roman"/>
          <w:color w:val="000000"/>
          <w:spacing w:val="-1"/>
          <w:sz w:val="32"/>
          <w:lang w:val="zh-CN"/>
        </w:rPr>
        <w:t>统筹推进全县社会信用体系建设，加强信用服务机构监管，推进信用服务市场发展。协调全县农业和农村经济社会发展的有关重大问题，衔接农村专项规划和政策。</w:t>
      </w:r>
    </w:p>
    <w:p>
      <w:pPr>
        <w:widowControl w:val="0"/>
        <w:autoSpaceDE w:val="0"/>
        <w:autoSpaceDN w:val="0"/>
        <w:spacing w:before="29" w:beforeLines="0" w:line="560" w:lineRule="atLeast"/>
        <w:ind w:firstLine="636"/>
        <w:jc w:val="both"/>
        <w:rPr>
          <w:rFonts w:hint="default" w:ascii="Times New Roman" w:hAnsi="Times New Roman" w:eastAsia="方正仿宋_GBK" w:cs="Times New Roman"/>
          <w:color w:val="auto"/>
          <w:sz w:val="32"/>
          <w:lang w:val="zh-CN"/>
        </w:rPr>
      </w:pPr>
      <w:r>
        <w:rPr>
          <w:rFonts w:hint="default" w:ascii="Times New Roman" w:hAnsi="Times New Roman" w:eastAsia="方正仿宋_GBK" w:cs="Times New Roman"/>
          <w:color w:val="000000"/>
          <w:spacing w:val="-1"/>
          <w:sz w:val="32"/>
          <w:lang w:val="en-US" w:eastAsia="zh-CN"/>
        </w:rPr>
        <w:t>8.</w:t>
      </w:r>
      <w:r>
        <w:rPr>
          <w:rFonts w:hint="default" w:ascii="Times New Roman" w:hAnsi="Times New Roman" w:eastAsia="方正仿宋_GBK" w:cs="Times New Roman"/>
          <w:color w:val="000000"/>
          <w:spacing w:val="-1"/>
          <w:sz w:val="32"/>
          <w:lang w:val="zh-CN"/>
        </w:rPr>
        <w:t>贯彻执行国家粮食流通和粮油储备的法</w:t>
      </w:r>
      <w:r>
        <w:rPr>
          <w:rFonts w:hint="default" w:ascii="Times New Roman" w:hAnsi="Times New Roman" w:eastAsia="方正仿宋_GBK" w:cs="Times New Roman"/>
          <w:color w:val="auto"/>
          <w:sz w:val="32"/>
          <w:lang w:val="zh-CN"/>
        </w:rPr>
        <w:t>律法规和</w:t>
      </w:r>
      <w:r>
        <w:rPr>
          <w:rFonts w:hint="default" w:ascii="Times New Roman" w:hAnsi="Times New Roman" w:eastAsia="方正仿宋_GBK" w:cs="Times New Roman"/>
          <w:color w:val="000000"/>
          <w:spacing w:val="-1"/>
          <w:sz w:val="32"/>
          <w:lang w:val="zh-CN"/>
        </w:rPr>
        <w:t>方针政策</w:t>
      </w:r>
      <w:r>
        <w:rPr>
          <w:rFonts w:hint="default" w:ascii="Times New Roman" w:hAnsi="Times New Roman" w:eastAsia="方正仿宋_GBK" w:cs="Times New Roman"/>
          <w:color w:val="auto"/>
          <w:sz w:val="32"/>
          <w:lang w:val="zh-CN"/>
        </w:rPr>
        <w:t>。统筹推进</w:t>
      </w:r>
      <w:r>
        <w:rPr>
          <w:rFonts w:hint="default" w:ascii="Times New Roman" w:hAnsi="Times New Roman" w:eastAsia="方正仿宋_GBK" w:cs="Times New Roman"/>
          <w:color w:val="000000"/>
          <w:spacing w:val="-1"/>
          <w:sz w:val="32"/>
          <w:lang w:val="zh-CN"/>
        </w:rPr>
        <w:t>全县粮食调控、总量平衡以及粮食流通中长期规</w:t>
      </w:r>
      <w:r>
        <w:rPr>
          <w:rFonts w:hint="default" w:ascii="Times New Roman" w:hAnsi="Times New Roman" w:eastAsia="方正仿宋_GBK" w:cs="Times New Roman"/>
          <w:color w:val="auto"/>
          <w:sz w:val="32"/>
          <w:lang w:val="zh-CN"/>
        </w:rPr>
        <w:t>划并实施。承担全县粮油市场的监测预警和应急工作。负责全县粮食</w:t>
      </w:r>
      <w:r>
        <w:rPr>
          <w:rFonts w:hint="default" w:ascii="Times New Roman" w:hAnsi="Times New Roman" w:eastAsia="方正仿宋_GBK" w:cs="Times New Roman"/>
          <w:color w:val="000000"/>
          <w:sz w:val="32"/>
          <w:lang w:val="zh-CN"/>
        </w:rPr>
        <w:t>行业</w:t>
      </w:r>
      <w:r>
        <w:rPr>
          <w:rFonts w:hint="default" w:ascii="Times New Roman" w:hAnsi="Times New Roman" w:eastAsia="方正仿宋_GBK" w:cs="Times New Roman"/>
          <w:color w:val="auto"/>
          <w:sz w:val="32"/>
          <w:lang w:val="zh-CN"/>
        </w:rPr>
        <w:t>管理和县级储备粮食管理。制订地方储备粮油计划，提出地方储备粮的收储规模和动用建议。承担粮食流通的行业统计工作。负责粮食清仓查库、粮食流通秩序监督检查工作。</w:t>
      </w:r>
    </w:p>
    <w:p>
      <w:pPr>
        <w:widowControl w:val="0"/>
        <w:autoSpaceDE w:val="0"/>
        <w:autoSpaceDN w:val="0"/>
        <w:spacing w:before="29" w:beforeLines="0" w:line="560" w:lineRule="atLeast"/>
        <w:ind w:firstLine="640"/>
        <w:jc w:val="both"/>
        <w:rPr>
          <w:rFonts w:hint="default" w:ascii="Times New Roman" w:hAnsi="Times New Roman" w:eastAsia="方正仿宋_GBK" w:cs="Times New Roman"/>
          <w:color w:val="000000"/>
          <w:spacing w:val="-1"/>
          <w:sz w:val="32"/>
          <w:lang w:val="zh-CN"/>
        </w:rPr>
      </w:pPr>
      <w:r>
        <w:rPr>
          <w:rFonts w:hint="default" w:ascii="Times New Roman" w:hAnsi="Times New Roman" w:eastAsia="宋体" w:cs="Times New Roman"/>
          <w:color w:val="auto"/>
          <w:sz w:val="32"/>
          <w:lang w:val="en-US" w:eastAsia="zh-CN"/>
        </w:rPr>
        <w:t>9.</w:t>
      </w:r>
      <w:r>
        <w:rPr>
          <w:rFonts w:hint="default" w:ascii="Times New Roman" w:hAnsi="Times New Roman" w:eastAsia="方正仿宋_GBK" w:cs="Times New Roman"/>
          <w:color w:val="000000"/>
          <w:spacing w:val="-1"/>
          <w:sz w:val="32"/>
          <w:lang w:val="zh-CN"/>
        </w:rPr>
        <w:t>牵头组织实施国内外政府或组织贷款、援助资金的项目。研究提出全县对外开放和利用外资政策，拟订全县招商引资中长期规划和年度计划，组织实施投资促进工作。负责全县区域经济合作与经济协作的有关工作。</w:t>
      </w:r>
    </w:p>
    <w:p>
      <w:pPr>
        <w:widowControl w:val="0"/>
        <w:autoSpaceDE w:val="0"/>
        <w:autoSpaceDN w:val="0"/>
        <w:spacing w:before="29" w:beforeLines="0" w:line="560" w:lineRule="atLeast"/>
        <w:ind w:firstLine="636"/>
        <w:jc w:val="both"/>
        <w:rPr>
          <w:rFonts w:hint="default" w:ascii="Times New Roman" w:hAnsi="Times New Roman" w:eastAsia="方正仿宋_GBK" w:cs="Times New Roman"/>
          <w:color w:val="000000"/>
          <w:spacing w:val="-1"/>
          <w:sz w:val="32"/>
          <w:lang w:val="zh-CN"/>
        </w:rPr>
      </w:pPr>
      <w:r>
        <w:rPr>
          <w:rFonts w:hint="default" w:ascii="Times New Roman" w:hAnsi="Times New Roman" w:eastAsia="方正仿宋_GBK" w:cs="Times New Roman"/>
          <w:color w:val="000000"/>
          <w:spacing w:val="-1"/>
          <w:sz w:val="32"/>
          <w:lang w:val="en-US" w:eastAsia="zh-CN"/>
        </w:rPr>
        <w:t>10.</w:t>
      </w:r>
      <w:r>
        <w:rPr>
          <w:rFonts w:hint="default" w:ascii="Times New Roman" w:hAnsi="Times New Roman" w:eastAsia="方正仿宋_GBK" w:cs="Times New Roman"/>
          <w:color w:val="000000"/>
          <w:spacing w:val="-1"/>
          <w:sz w:val="32"/>
          <w:lang w:val="zh-CN"/>
        </w:rPr>
        <w:t>监控价格总水平和重要基础性产品价格。</w:t>
      </w:r>
      <w:r>
        <w:rPr>
          <w:rFonts w:hint="default" w:ascii="Times New Roman" w:hAnsi="Times New Roman" w:eastAsia="方正仿宋_GBK" w:cs="Times New Roman"/>
          <w:color w:val="auto"/>
          <w:sz w:val="32"/>
          <w:lang w:val="zh-CN"/>
        </w:rPr>
        <w:t>提出价格改革方案，制定少数由政府管理的重要商品、服务价格和重要收费标准并组织实施。</w:t>
      </w:r>
      <w:r>
        <w:rPr>
          <w:rFonts w:hint="default" w:ascii="Times New Roman" w:hAnsi="Times New Roman" w:eastAsia="方正仿宋_GBK" w:cs="Times New Roman"/>
          <w:color w:val="000000"/>
          <w:spacing w:val="-1"/>
          <w:sz w:val="32"/>
          <w:lang w:val="zh-CN"/>
        </w:rPr>
        <w:t>负责受理和组织、指导全县价格行政复议和价格行政诉讼。负责对价格认定机构的监督管理和对涉案物品的价格认定工作。指导价格咨询、服务等价格事务工作。</w:t>
      </w:r>
    </w:p>
    <w:p>
      <w:pPr>
        <w:widowControl w:val="0"/>
        <w:autoSpaceDE w:val="0"/>
        <w:autoSpaceDN w:val="0"/>
        <w:spacing w:before="29" w:beforeLines="0" w:line="560" w:lineRule="atLeast"/>
        <w:ind w:firstLine="636"/>
        <w:jc w:val="both"/>
        <w:rPr>
          <w:rFonts w:hint="default" w:ascii="Times New Roman" w:hAnsi="Times New Roman" w:eastAsia="方正仿宋_GBK" w:cs="Times New Roman"/>
          <w:color w:val="000000"/>
          <w:spacing w:val="-1"/>
          <w:sz w:val="32"/>
          <w:lang w:val="zh-CN"/>
        </w:rPr>
      </w:pPr>
      <w:r>
        <w:rPr>
          <w:rFonts w:hint="default" w:ascii="Times New Roman" w:hAnsi="Times New Roman" w:eastAsia="方正仿宋_GBK" w:cs="Times New Roman"/>
          <w:color w:val="000000"/>
          <w:spacing w:val="-1"/>
          <w:sz w:val="32"/>
          <w:lang w:val="en-US" w:eastAsia="zh-CN"/>
        </w:rPr>
        <w:t>11.</w:t>
      </w:r>
      <w:r>
        <w:rPr>
          <w:rFonts w:hint="default" w:ascii="Times New Roman" w:hAnsi="Times New Roman" w:eastAsia="方正仿宋_GBK" w:cs="Times New Roman"/>
          <w:color w:val="000000"/>
          <w:spacing w:val="-1"/>
          <w:sz w:val="32"/>
          <w:lang w:val="zh-CN"/>
        </w:rPr>
        <w:t>研究分析卫生健康、科学技术、教育文化等社会事业发展状况，提出经济与社会协调发展、相互促进以及促进就业、调整收入分配、完善社会保障的政策措施，协调社会事业发展和社会保障的重大问题。</w:t>
      </w:r>
    </w:p>
    <w:p>
      <w:pPr>
        <w:widowControl w:val="0"/>
        <w:autoSpaceDE w:val="0"/>
        <w:autoSpaceDN w:val="0"/>
        <w:spacing w:before="29" w:beforeLines="0" w:line="560" w:lineRule="atLeast"/>
        <w:ind w:firstLine="636"/>
        <w:jc w:val="both"/>
        <w:rPr>
          <w:rFonts w:hint="default" w:ascii="Times New Roman" w:hAnsi="Times New Roman" w:eastAsia="方正仿宋_GBK" w:cs="Times New Roman"/>
          <w:color w:val="000000"/>
          <w:spacing w:val="-1"/>
          <w:sz w:val="32"/>
          <w:lang w:val="zh-CN"/>
        </w:rPr>
      </w:pPr>
      <w:r>
        <w:rPr>
          <w:rFonts w:hint="default" w:ascii="Times New Roman" w:hAnsi="Times New Roman" w:eastAsia="方正仿宋_GBK" w:cs="Times New Roman"/>
          <w:color w:val="000000"/>
          <w:spacing w:val="-1"/>
          <w:sz w:val="32"/>
          <w:lang w:val="en-US" w:eastAsia="zh-CN"/>
        </w:rPr>
        <w:t>12.</w:t>
      </w:r>
      <w:r>
        <w:rPr>
          <w:rFonts w:hint="default" w:ascii="Times New Roman" w:hAnsi="Times New Roman" w:eastAsia="方正仿宋_GBK" w:cs="Times New Roman"/>
          <w:color w:val="000000"/>
          <w:spacing w:val="-1"/>
          <w:sz w:val="32"/>
          <w:lang w:val="zh-CN"/>
        </w:rPr>
        <w:t>推进全面可持续发展战略，研究拟订全县资源节约综合利用规划，参与编制生态建设规划，提出资源节约综合利用的政策，协调生态建设和资源节约综合利用的重大问题。组织协调环保产业工作。统筹推进独立工矿区综合治理。</w:t>
      </w:r>
    </w:p>
    <w:p>
      <w:pPr>
        <w:widowControl w:val="0"/>
        <w:autoSpaceDE w:val="0"/>
        <w:autoSpaceDN w:val="0"/>
        <w:spacing w:before="29" w:beforeLines="0" w:line="560" w:lineRule="atLeast"/>
        <w:ind w:firstLine="636"/>
        <w:jc w:val="both"/>
        <w:rPr>
          <w:rFonts w:hint="default" w:ascii="Times New Roman" w:hAnsi="Times New Roman" w:eastAsia="方正仿宋_GBK" w:cs="Times New Roman"/>
          <w:color w:val="000000"/>
          <w:spacing w:val="-1"/>
          <w:sz w:val="32"/>
          <w:lang w:val="zh-CN"/>
        </w:rPr>
      </w:pPr>
      <w:r>
        <w:rPr>
          <w:rFonts w:hint="default" w:ascii="Times New Roman" w:hAnsi="Times New Roman" w:eastAsia="方正仿宋_GBK" w:cs="Times New Roman"/>
          <w:color w:val="000000"/>
          <w:spacing w:val="-1"/>
          <w:sz w:val="32"/>
          <w:lang w:val="en-US" w:eastAsia="zh-CN"/>
        </w:rPr>
        <w:t>13.</w:t>
      </w:r>
      <w:r>
        <w:rPr>
          <w:rFonts w:hint="default" w:ascii="Times New Roman" w:hAnsi="Times New Roman" w:eastAsia="方正仿宋_GBK" w:cs="Times New Roman"/>
          <w:color w:val="000000"/>
          <w:spacing w:val="-1"/>
          <w:sz w:val="32"/>
          <w:lang w:val="zh-CN"/>
        </w:rPr>
        <w:t>负责拟订电力、天然气等能源发展战略、规划、产业政策、体制改革方案并组织实施，协调能源发展和改革中的重大问题，统筹协调中长期能源生产建设，统筹能源供需总量平衡。</w:t>
      </w:r>
    </w:p>
    <w:p>
      <w:pPr>
        <w:widowControl w:val="0"/>
        <w:autoSpaceDE w:val="0"/>
        <w:autoSpaceDN w:val="0"/>
        <w:spacing w:before="29" w:beforeLines="0" w:line="560" w:lineRule="atLeast"/>
        <w:ind w:firstLine="636"/>
        <w:jc w:val="both"/>
        <w:rPr>
          <w:rFonts w:hint="default" w:ascii="Times New Roman" w:hAnsi="Times New Roman" w:eastAsia="方正仿宋_GBK" w:cs="Times New Roman"/>
          <w:color w:val="000000"/>
          <w:spacing w:val="-1"/>
          <w:sz w:val="32"/>
          <w:lang w:val="zh-CN"/>
        </w:rPr>
      </w:pPr>
      <w:r>
        <w:rPr>
          <w:rFonts w:hint="default" w:ascii="Times New Roman" w:hAnsi="Times New Roman" w:eastAsia="方正仿宋_GBK" w:cs="Times New Roman"/>
          <w:color w:val="000000"/>
          <w:spacing w:val="-1"/>
          <w:sz w:val="32"/>
          <w:lang w:val="en-US" w:eastAsia="zh-CN"/>
        </w:rPr>
        <w:t>14.</w:t>
      </w:r>
      <w:r>
        <w:rPr>
          <w:rFonts w:hint="default" w:ascii="Times New Roman" w:hAnsi="Times New Roman" w:eastAsia="方正仿宋_GBK" w:cs="Times New Roman"/>
          <w:color w:val="000000"/>
          <w:spacing w:val="-1"/>
          <w:sz w:val="32"/>
          <w:lang w:val="zh-CN"/>
        </w:rPr>
        <w:t>参与国防动员工作，承担国民经济动员工作。</w:t>
      </w:r>
    </w:p>
    <w:p>
      <w:pPr>
        <w:keepNext w:val="0"/>
        <w:keepLines w:val="0"/>
        <w:widowControl/>
        <w:suppressLineNumbers w:val="0"/>
        <w:ind w:firstLine="636" w:firstLineChars="200"/>
        <w:jc w:val="both"/>
        <w:rPr>
          <w:rFonts w:hint="default" w:ascii="Times New Roman" w:hAnsi="Times New Roman" w:eastAsia="方正仿宋_GBK" w:cs="Times New Roman"/>
          <w:color w:val="000000"/>
          <w:spacing w:val="-1"/>
          <w:sz w:val="32"/>
          <w:lang w:val="zh-CN"/>
        </w:rPr>
      </w:pPr>
      <w:r>
        <w:rPr>
          <w:rFonts w:hint="default" w:ascii="Times New Roman" w:hAnsi="Times New Roman" w:eastAsia="方正仿宋_GBK" w:cs="Times New Roman"/>
          <w:color w:val="000000"/>
          <w:spacing w:val="-1"/>
          <w:sz w:val="32"/>
          <w:lang w:val="en-US" w:eastAsia="zh-CN"/>
        </w:rPr>
        <w:t>15.</w:t>
      </w:r>
      <w:r>
        <w:rPr>
          <w:rFonts w:hint="default" w:ascii="Times New Roman" w:hAnsi="Times New Roman" w:eastAsia="方正仿宋_GBK" w:cs="Times New Roman"/>
          <w:color w:val="000000"/>
          <w:spacing w:val="-1"/>
          <w:sz w:val="32"/>
          <w:lang w:val="zh-CN"/>
        </w:rPr>
        <w:t>完成县委县政府交办的其他任务。</w:t>
      </w:r>
    </w:p>
    <w:p>
      <w:pPr>
        <w:keepNext w:val="0"/>
        <w:keepLines w:val="0"/>
        <w:widowControl/>
        <w:suppressLineNumbers w:val="0"/>
        <w:ind w:firstLine="640" w:firstLineChars="200"/>
        <w:jc w:val="both"/>
        <w:rPr>
          <w:rFonts w:hint="default" w:ascii="Times New Roman" w:hAnsi="Times New Roman" w:eastAsia="方正楷体_GBK" w:cs="Times New Roman"/>
          <w:i w:val="0"/>
          <w:iCs w:val="0"/>
          <w:caps w:val="0"/>
          <w:color w:val="333333"/>
          <w:spacing w:val="0"/>
          <w:sz w:val="32"/>
          <w:szCs w:val="32"/>
          <w:shd w:val="clear" w:fill="FFFFFF"/>
          <w:lang w:val="en-US" w:eastAsia="zh-CN"/>
        </w:rPr>
      </w:pPr>
      <w:r>
        <w:rPr>
          <w:rStyle w:val="9"/>
          <w:rFonts w:hint="default" w:ascii="Times New Roman" w:hAnsi="Times New Roman" w:eastAsia="方正楷体_GBK" w:cs="Times New Roman"/>
          <w:b w:val="0"/>
          <w:bCs/>
          <w:sz w:val="32"/>
          <w:szCs w:val="32"/>
          <w:shd w:val="clear" w:color="auto" w:fill="FFFFFF"/>
        </w:rPr>
        <w:t>（二）机构设置</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lang w:val="en-US" w:eastAsia="zh-CN"/>
        </w:rPr>
        <w:t>重庆</w:t>
      </w:r>
      <w:r>
        <w:rPr>
          <w:rFonts w:hint="default" w:ascii="Times New Roman" w:hAnsi="Times New Roman" w:eastAsia="方正仿宋_GBK" w:cs="Times New Roman"/>
          <w:kern w:val="2"/>
          <w:sz w:val="32"/>
          <w:szCs w:val="32"/>
          <w:lang w:val="en-US" w:eastAsia="zh-CN" w:bidi="ar-SA"/>
        </w:rPr>
        <w:t>市</w:t>
      </w:r>
      <w:r>
        <w:rPr>
          <w:rFonts w:hint="default" w:ascii="Times New Roman" w:hAnsi="Times New Roman" w:eastAsia="方正仿宋_GBK" w:cs="Times New Roman"/>
          <w:color w:val="000000"/>
          <w:sz w:val="32"/>
          <w:lang w:val="zh-CN"/>
        </w:rPr>
        <w:t>秀山土家族苗族自治县发展和改革委员会是县政府工作</w:t>
      </w:r>
      <w:r>
        <w:rPr>
          <w:rFonts w:hint="default" w:ascii="Times New Roman" w:hAnsi="Times New Roman" w:eastAsia="方正仿宋_GBK" w:cs="Times New Roman"/>
          <w:color w:val="000000"/>
          <w:spacing w:val="-6"/>
          <w:sz w:val="32"/>
          <w:lang w:val="zh-CN"/>
        </w:rPr>
        <w:t>部门，</w:t>
      </w:r>
      <w:r>
        <w:rPr>
          <w:rFonts w:hint="default" w:ascii="Times New Roman" w:hAnsi="Times New Roman" w:eastAsia="方正仿宋_GBK" w:cs="Times New Roman"/>
          <w:b w:val="0"/>
          <w:bCs w:val="0"/>
          <w:color w:val="000000"/>
          <w:kern w:val="32"/>
          <w:sz w:val="32"/>
          <w:szCs w:val="32"/>
          <w:u w:val="none" w:color="auto"/>
          <w:lang w:val="en-US" w:eastAsia="zh-CN" w:bidi="ar-SA"/>
        </w:rPr>
        <w:t>内设11</w:t>
      </w:r>
      <w:r>
        <w:rPr>
          <w:rFonts w:hint="default" w:ascii="Times New Roman" w:hAnsi="Times New Roman" w:eastAsia="方正仿宋_GBK" w:cs="Times New Roman"/>
          <w:i w:val="0"/>
          <w:iCs w:val="0"/>
          <w:caps w:val="0"/>
          <w:color w:val="333333"/>
          <w:spacing w:val="0"/>
          <w:sz w:val="32"/>
          <w:szCs w:val="32"/>
          <w:shd w:val="clear" w:fill="FFFFFF"/>
        </w:rPr>
        <w:t>个职能科室</w:t>
      </w:r>
      <w:r>
        <w:rPr>
          <w:rFonts w:hint="default" w:ascii="Times New Roman" w:hAnsi="Times New Roman" w:eastAsia="方正仿宋_GBK" w:cs="Times New Roman"/>
          <w:b w:val="0"/>
          <w:bCs w:val="0"/>
          <w:color w:val="000000"/>
          <w:kern w:val="32"/>
          <w:sz w:val="32"/>
          <w:szCs w:val="32"/>
          <w:u w:val="none" w:color="auto"/>
          <w:lang w:val="en-US" w:eastAsia="zh-CN" w:bidi="ar-SA"/>
        </w:rPr>
        <w:t>，分别是：</w:t>
      </w:r>
      <w:r>
        <w:rPr>
          <w:rFonts w:hint="default" w:ascii="Times New Roman" w:hAnsi="Times New Roman" w:eastAsia="方正仿宋_GBK" w:cs="Times New Roman"/>
          <w:color w:val="000000"/>
          <w:spacing w:val="-6"/>
          <w:sz w:val="32"/>
          <w:lang w:val="zh-CN"/>
        </w:rPr>
        <w:t>办公室（挂信访办公室牌子）、经济规划科、投资管理科（挂行政审批科牌子）、公共资源交易监督管理科、农村经济管理科、粮油管理科、资源环境安全科、物价管理科、社会事业科、体制改革科、督查科（挂内审科牌子）。</w:t>
      </w:r>
    </w:p>
    <w:p>
      <w:pPr>
        <w:pStyle w:val="7"/>
        <w:keepNext w:val="0"/>
        <w:keepLines w:val="0"/>
        <w:pageBreakBefore w:val="0"/>
        <w:widowControl/>
        <w:numPr>
          <w:ilvl w:val="0"/>
          <w:numId w:val="1"/>
        </w:numPr>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Style w:val="9"/>
          <w:rFonts w:hint="default" w:ascii="Times New Roman" w:hAnsi="Times New Roman" w:eastAsia="方正黑体_GBK" w:cs="Times New Roman"/>
          <w:b w:val="0"/>
          <w:bCs/>
          <w:sz w:val="32"/>
          <w:szCs w:val="32"/>
          <w:shd w:val="clear" w:color="auto" w:fill="FFFFFF"/>
        </w:rPr>
      </w:pPr>
      <w:r>
        <w:rPr>
          <w:rStyle w:val="9"/>
          <w:rFonts w:hint="eastAsia" w:ascii="Times New Roman" w:hAnsi="Times New Roman" w:eastAsia="方正黑体_GBK" w:cs="Times New Roman"/>
          <w:b w:val="0"/>
          <w:bCs/>
          <w:sz w:val="32"/>
          <w:szCs w:val="32"/>
          <w:shd w:val="clear" w:color="auto" w:fill="FFFFFF"/>
          <w:lang w:eastAsia="zh-CN"/>
        </w:rPr>
        <w:t>部门</w:t>
      </w:r>
      <w:r>
        <w:rPr>
          <w:rStyle w:val="9"/>
          <w:rFonts w:hint="default" w:ascii="Times New Roman" w:hAnsi="Times New Roman" w:eastAsia="方正黑体_GBK" w:cs="Times New Roman"/>
          <w:b w:val="0"/>
          <w:bCs/>
          <w:sz w:val="32"/>
          <w:szCs w:val="32"/>
          <w:shd w:val="clear" w:color="auto" w:fill="FFFFFF"/>
        </w:rPr>
        <w:t>决算情况说明</w:t>
      </w:r>
    </w:p>
    <w:p>
      <w:pPr>
        <w:keepNext w:val="0"/>
        <w:keepLines w:val="0"/>
        <w:widowControl/>
        <w:suppressLineNumbers w:val="0"/>
        <w:ind w:firstLine="640" w:firstLineChars="200"/>
        <w:jc w:val="both"/>
        <w:rPr>
          <w:rStyle w:val="9"/>
          <w:rFonts w:hint="default" w:ascii="Times New Roman" w:hAnsi="Times New Roman" w:eastAsia="方正楷体_GBK" w:cs="Times New Roman"/>
          <w:b w:val="0"/>
          <w:bCs/>
          <w:sz w:val="32"/>
          <w:szCs w:val="32"/>
          <w:shd w:val="clear" w:color="auto" w:fill="FFFFFF"/>
          <w:lang w:val="en-US" w:eastAsia="zh-CN"/>
        </w:rPr>
      </w:pPr>
      <w:r>
        <w:rPr>
          <w:rStyle w:val="9"/>
          <w:rFonts w:hint="default" w:ascii="Times New Roman" w:hAnsi="Times New Roman" w:eastAsia="方正楷体_GBK" w:cs="Times New Roman"/>
          <w:b w:val="0"/>
          <w:bCs/>
          <w:sz w:val="32"/>
          <w:szCs w:val="32"/>
          <w:shd w:val="clear" w:color="auto" w:fill="FFFFFF"/>
          <w:lang w:val="en-US" w:eastAsia="zh-CN"/>
        </w:rPr>
        <w:t>（一）收入支出决算总体情况说明</w:t>
      </w:r>
    </w:p>
    <w:p>
      <w:pPr>
        <w:numPr>
          <w:ilvl w:val="0"/>
          <w:numId w:val="0"/>
        </w:numPr>
        <w:ind w:leftChars="0" w:firstLine="643" w:firstLineChars="200"/>
        <w:jc w:val="both"/>
        <w:rPr>
          <w:rFonts w:hint="default" w:ascii="Times New Roman" w:hAnsi="Times New Roman" w:eastAsia="方正仿宋_GBK" w:cs="Times New Roman"/>
          <w:sz w:val="32"/>
          <w:szCs w:val="32"/>
          <w:lang w:val="en-US" w:eastAsia="zh-CN"/>
        </w:rPr>
      </w:pPr>
      <w:r>
        <w:rPr>
          <w:rStyle w:val="9"/>
          <w:rFonts w:hint="default" w:ascii="Times New Roman" w:hAnsi="Times New Roman" w:eastAsia="方正仿宋_GBK" w:cs="Times New Roman"/>
          <w:sz w:val="32"/>
          <w:szCs w:val="32"/>
          <w:shd w:val="clear" w:color="auto" w:fill="FFFFFF"/>
          <w:lang w:val="en-US" w:eastAsia="zh-CN" w:bidi="ar-SA"/>
        </w:rPr>
        <w:t>1.总体情况。</w:t>
      </w:r>
      <w:r>
        <w:rPr>
          <w:rFonts w:hint="default" w:ascii="Times New Roman" w:hAnsi="Times New Roman" w:eastAsia="方正仿宋_GBK" w:cs="Times New Roman"/>
          <w:sz w:val="32"/>
          <w:szCs w:val="32"/>
          <w:shd w:val="clear" w:color="auto" w:fill="FFFFFF"/>
        </w:rPr>
        <w:t>2023年度收入总计2,253.04万元，支出总计</w:t>
      </w:r>
      <w:r>
        <w:rPr>
          <w:rFonts w:hint="default" w:ascii="Times New Roman" w:hAnsi="Times New Roman" w:eastAsia="方正仿宋_GBK" w:cs="Times New Roman"/>
          <w:sz w:val="32"/>
          <w:szCs w:val="32"/>
        </w:rPr>
        <w:t>2,253.04</w:t>
      </w:r>
      <w:r>
        <w:rPr>
          <w:rFonts w:hint="default" w:ascii="Times New Roman" w:hAnsi="Times New Roman" w:eastAsia="方正仿宋_GBK" w:cs="Times New Roman"/>
          <w:sz w:val="32"/>
          <w:szCs w:val="32"/>
          <w:shd w:val="clear" w:color="auto" w:fill="FFFFFF"/>
        </w:rPr>
        <w:t>万元。收支较上年决算数增加131.08万元，增长5.93%，主要原因是</w:t>
      </w:r>
      <w:r>
        <w:rPr>
          <w:rFonts w:hint="default" w:ascii="Times New Roman" w:hAnsi="Times New Roman" w:eastAsia="方正仿宋_GBK" w:cs="Times New Roman"/>
          <w:sz w:val="32"/>
          <w:szCs w:val="32"/>
          <w:shd w:val="clear" w:color="auto" w:fill="FFFFFF"/>
          <w:lang w:val="en-US" w:eastAsia="zh-CN"/>
        </w:rPr>
        <w:t>由于机构改革，合并原公共资源综合交易中心收支数据</w:t>
      </w:r>
      <w:r>
        <w:rPr>
          <w:rFonts w:hint="default" w:ascii="Times New Roman" w:hAnsi="Times New Roman" w:eastAsia="方正仿宋_GBK" w:cs="Times New Roman"/>
          <w:sz w:val="32"/>
          <w:szCs w:val="32"/>
        </w:rPr>
        <w:t>。</w:t>
      </w:r>
    </w:p>
    <w:p>
      <w:pPr>
        <w:numPr>
          <w:ilvl w:val="0"/>
          <w:numId w:val="0"/>
        </w:numPr>
        <w:ind w:leftChars="0" w:firstLine="643" w:firstLineChars="200"/>
        <w:jc w:val="both"/>
        <w:rPr>
          <w:rFonts w:hint="default" w:ascii="Times New Roman" w:hAnsi="Times New Roman" w:eastAsia="方正仿宋_GBK" w:cs="Times New Roman"/>
          <w:sz w:val="32"/>
          <w:szCs w:val="32"/>
          <w:shd w:val="clear" w:color="auto" w:fill="FFFFFF"/>
        </w:rPr>
      </w:pPr>
      <w:r>
        <w:rPr>
          <w:rStyle w:val="9"/>
          <w:rFonts w:hint="default" w:ascii="Times New Roman" w:hAnsi="Times New Roman" w:eastAsia="方正仿宋_GBK" w:cs="Times New Roman"/>
          <w:sz w:val="32"/>
          <w:szCs w:val="32"/>
          <w:shd w:val="clear" w:color="auto" w:fill="FFFFFF"/>
        </w:rPr>
        <w:t>2.收入情况。</w:t>
      </w:r>
      <w:r>
        <w:rPr>
          <w:rFonts w:hint="default" w:ascii="Times New Roman" w:hAnsi="Times New Roman" w:eastAsia="方正仿宋_GBK" w:cs="Times New Roman"/>
          <w:sz w:val="32"/>
          <w:szCs w:val="32"/>
          <w:shd w:val="clear" w:color="auto" w:fill="FFFFFF"/>
        </w:rPr>
        <w:t>2023年度收入合计2,253.04万元，较上年决算数增加</w:t>
      </w:r>
      <w:r>
        <w:rPr>
          <w:rFonts w:hint="default" w:ascii="Times New Roman" w:hAnsi="Times New Roman" w:eastAsia="方正仿宋_GBK" w:cs="Times New Roman"/>
          <w:sz w:val="32"/>
          <w:szCs w:val="32"/>
          <w:shd w:val="clear" w:color="auto" w:fill="FFFFFF"/>
          <w:lang w:val="en-US" w:eastAsia="zh-CN"/>
        </w:rPr>
        <w:t>131.08</w:t>
      </w:r>
      <w:r>
        <w:rPr>
          <w:rFonts w:hint="default" w:ascii="Times New Roman" w:hAnsi="Times New Roman" w:eastAsia="方正仿宋_GBK" w:cs="Times New Roman"/>
          <w:sz w:val="32"/>
          <w:szCs w:val="32"/>
          <w:shd w:val="clear" w:color="auto" w:fill="FFFFFF"/>
        </w:rPr>
        <w:t>万元，增长</w:t>
      </w:r>
      <w:r>
        <w:rPr>
          <w:rFonts w:hint="default" w:ascii="Times New Roman" w:hAnsi="Times New Roman" w:eastAsia="方正仿宋_GBK" w:cs="Times New Roman"/>
          <w:sz w:val="32"/>
          <w:szCs w:val="32"/>
          <w:shd w:val="clear" w:color="auto" w:fill="FFFFFF"/>
          <w:lang w:val="en-US" w:eastAsia="zh-CN"/>
        </w:rPr>
        <w:t>5.93</w:t>
      </w:r>
      <w:r>
        <w:rPr>
          <w:rFonts w:hint="default" w:ascii="Times New Roman" w:hAnsi="Times New Roman" w:eastAsia="方正仿宋_GBK" w:cs="Times New Roman"/>
          <w:sz w:val="32"/>
          <w:szCs w:val="32"/>
          <w:shd w:val="clear" w:color="auto" w:fill="FFFFFF"/>
        </w:rPr>
        <w:t>%，主要原因是</w:t>
      </w:r>
      <w:r>
        <w:rPr>
          <w:rFonts w:hint="default" w:ascii="Times New Roman" w:hAnsi="Times New Roman" w:eastAsia="方正仿宋_GBK" w:cs="Times New Roman"/>
          <w:sz w:val="32"/>
          <w:szCs w:val="32"/>
          <w:shd w:val="clear" w:color="auto" w:fill="FFFFFF"/>
          <w:lang w:val="en-US" w:eastAsia="zh-CN"/>
        </w:rPr>
        <w:t>由于机构改革，合并原公共资源综合交易中心收入数据</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shd w:val="clear" w:color="auto" w:fill="FFFFFF"/>
        </w:rPr>
        <w:t>其中：财政拨款收入</w:t>
      </w:r>
      <w:r>
        <w:rPr>
          <w:rFonts w:hint="default" w:ascii="Times New Roman" w:hAnsi="Times New Roman" w:eastAsia="方正仿宋_GBK" w:cs="Times New Roman"/>
          <w:sz w:val="32"/>
          <w:szCs w:val="32"/>
        </w:rPr>
        <w:t>2,253.04</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100.00</w:t>
      </w:r>
      <w:r>
        <w:rPr>
          <w:rFonts w:hint="default" w:ascii="Times New Roman" w:hAnsi="Times New Roman" w:eastAsia="方正仿宋_GBK" w:cs="Times New Roman"/>
          <w:sz w:val="32"/>
          <w:szCs w:val="32"/>
          <w:shd w:val="clear" w:color="auto" w:fill="FFFFFF"/>
        </w:rPr>
        <w:t>%；事业收入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万元，占0.00%；经营收入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万元，占0.00%；其他收入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万元，占0.00%。此外，使用非财政拨款结余和专用结余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万元，年初结转和结余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pPr>
        <w:pStyle w:val="7"/>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shd w:val="clear" w:color="auto" w:fill="FFFFFF"/>
        </w:rPr>
      </w:pPr>
      <w:r>
        <w:rPr>
          <w:rStyle w:val="9"/>
          <w:rFonts w:hint="default" w:ascii="Times New Roman" w:hAnsi="Times New Roman" w:eastAsia="方正仿宋_GBK" w:cs="Times New Roman"/>
          <w:sz w:val="32"/>
          <w:szCs w:val="32"/>
          <w:shd w:val="clear" w:color="auto" w:fill="FFFFFF"/>
        </w:rPr>
        <w:t>3.支出情况。</w:t>
      </w:r>
      <w:r>
        <w:rPr>
          <w:rFonts w:hint="default" w:ascii="Times New Roman" w:hAnsi="Times New Roman" w:eastAsia="方正仿宋_GBK" w:cs="Times New Roman"/>
          <w:sz w:val="32"/>
          <w:szCs w:val="32"/>
          <w:shd w:val="clear" w:color="auto" w:fill="FFFFFF"/>
        </w:rPr>
        <w:t>2023年度支出合计</w:t>
      </w:r>
      <w:r>
        <w:rPr>
          <w:rFonts w:hint="default" w:ascii="Times New Roman" w:hAnsi="Times New Roman" w:eastAsia="方正仿宋_GBK" w:cs="Times New Roman"/>
          <w:sz w:val="32"/>
          <w:szCs w:val="32"/>
        </w:rPr>
        <w:t>2,253.04</w:t>
      </w:r>
      <w:r>
        <w:rPr>
          <w:rFonts w:hint="default" w:ascii="Times New Roman" w:hAnsi="Times New Roman" w:eastAsia="方正仿宋_GBK" w:cs="Times New Roman"/>
          <w:sz w:val="32"/>
          <w:szCs w:val="32"/>
          <w:shd w:val="clear" w:color="auto" w:fill="FFFFFF"/>
        </w:rPr>
        <w:t>万元，较上年决算数增加131.08万元，增长5.93%，主要原因是</w:t>
      </w:r>
      <w:r>
        <w:rPr>
          <w:rFonts w:hint="default" w:ascii="Times New Roman" w:hAnsi="Times New Roman" w:eastAsia="方正仿宋_GBK" w:cs="Times New Roman"/>
          <w:sz w:val="32"/>
          <w:szCs w:val="32"/>
          <w:shd w:val="clear" w:color="auto" w:fill="FFFFFF"/>
          <w:lang w:val="en-US" w:eastAsia="zh-CN"/>
        </w:rPr>
        <w:t>由于机构改革，合并原公共资源综合交易中心支出数据</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shd w:val="clear" w:color="auto" w:fill="FFFFFF"/>
        </w:rPr>
        <w:t>其中：基本支出</w:t>
      </w:r>
      <w:r>
        <w:rPr>
          <w:rFonts w:hint="default" w:ascii="Times New Roman" w:hAnsi="Times New Roman" w:eastAsia="方正仿宋_GBK" w:cs="Times New Roman"/>
          <w:sz w:val="32"/>
          <w:szCs w:val="32"/>
        </w:rPr>
        <w:t>1,341.98</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shd w:val="clear" w:color="auto" w:fill="FFFFFF"/>
          <w:lang w:val="en-US" w:eastAsia="zh-CN"/>
        </w:rPr>
        <w:t>59.56</w:t>
      </w:r>
      <w:r>
        <w:rPr>
          <w:rFonts w:hint="default" w:ascii="Times New Roman" w:hAnsi="Times New Roman" w:eastAsia="方正仿宋_GBK" w:cs="Times New Roman"/>
          <w:sz w:val="32"/>
          <w:szCs w:val="32"/>
          <w:shd w:val="clear" w:color="auto" w:fill="FFFFFF"/>
        </w:rPr>
        <w:t>%；项目支出</w:t>
      </w:r>
      <w:r>
        <w:rPr>
          <w:rFonts w:hint="default" w:ascii="Times New Roman" w:hAnsi="Times New Roman" w:eastAsia="方正仿宋_GBK" w:cs="Times New Roman"/>
          <w:sz w:val="32"/>
          <w:szCs w:val="32"/>
        </w:rPr>
        <w:t>911.06</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shd w:val="clear" w:color="auto" w:fill="FFFFFF"/>
          <w:lang w:val="en-US" w:eastAsia="zh-CN"/>
        </w:rPr>
        <w:t>40.44</w:t>
      </w:r>
      <w:r>
        <w:rPr>
          <w:rFonts w:hint="default" w:ascii="Times New Roman" w:hAnsi="Times New Roman" w:eastAsia="方正仿宋_GBK" w:cs="Times New Roman"/>
          <w:sz w:val="32"/>
          <w:szCs w:val="32"/>
          <w:shd w:val="clear" w:color="auto" w:fill="FFFFFF"/>
        </w:rPr>
        <w:t>%；经营支出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万元，占0.00%。此外，结余分配</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color w:val="FF0000"/>
          <w:sz w:val="22"/>
          <w:szCs w:val="22"/>
          <w:shd w:val="clear" w:color="auto" w:fill="FFFFFF"/>
          <w:lang w:val="en-US" w:eastAsia="zh-CN"/>
        </w:rPr>
      </w:pPr>
      <w:r>
        <w:rPr>
          <w:rStyle w:val="9"/>
          <w:rFonts w:hint="default" w:ascii="Times New Roman" w:hAnsi="Times New Roman" w:eastAsia="方正仿宋_GBK" w:cs="Times New Roman"/>
          <w:sz w:val="32"/>
          <w:szCs w:val="32"/>
          <w:shd w:val="clear" w:color="auto" w:fill="FFFFFF"/>
        </w:rPr>
        <w:t>4.结转结余情况。</w:t>
      </w:r>
      <w:r>
        <w:rPr>
          <w:rFonts w:hint="default" w:ascii="Times New Roman" w:hAnsi="Times New Roman" w:eastAsia="方正仿宋_GBK" w:cs="Times New Roman"/>
          <w:sz w:val="32"/>
          <w:szCs w:val="32"/>
          <w:shd w:val="clear" w:color="auto" w:fill="FFFFFF"/>
        </w:rPr>
        <w:t>2023年度年末结转和结余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万元，较上年决算数无增减</w:t>
      </w:r>
      <w:r>
        <w:rPr>
          <w:rFonts w:hint="default" w:ascii="Times New Roman" w:hAnsi="Times New Roman" w:eastAsia="方正仿宋_GBK" w:cs="Times New Roman"/>
          <w:sz w:val="32"/>
          <w:szCs w:val="32"/>
          <w:shd w:val="clear" w:color="auto" w:fill="FFFFFF"/>
          <w:lang w:eastAsia="zh-CN"/>
        </w:rPr>
        <w:t>。</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Style w:val="9"/>
          <w:rFonts w:hint="default" w:ascii="Times New Roman" w:hAnsi="Times New Roman" w:eastAsia="方正楷体_GBK" w:cs="Times New Roman"/>
          <w:b w:val="0"/>
          <w:bCs/>
          <w:kern w:val="2"/>
          <w:sz w:val="32"/>
          <w:szCs w:val="32"/>
          <w:shd w:val="clear" w:color="auto" w:fill="FFFFFF"/>
          <w:lang w:val="en-US" w:eastAsia="zh-CN" w:bidi="ar-SA"/>
        </w:rPr>
      </w:pPr>
      <w:r>
        <w:rPr>
          <w:rStyle w:val="9"/>
          <w:rFonts w:hint="default" w:ascii="Times New Roman" w:hAnsi="Times New Roman" w:eastAsia="方正楷体_GBK" w:cs="Times New Roman"/>
          <w:b w:val="0"/>
          <w:bCs/>
          <w:kern w:val="2"/>
          <w:sz w:val="32"/>
          <w:szCs w:val="32"/>
          <w:shd w:val="clear" w:color="auto" w:fill="FFFFFF"/>
          <w:lang w:val="en-US" w:eastAsia="zh-CN" w:bidi="ar-SA"/>
        </w:rPr>
        <w:t>（二）财政拨款收入支出决算总体情况说明</w:t>
      </w:r>
    </w:p>
    <w:p>
      <w:pPr>
        <w:pStyle w:val="7"/>
        <w:keepNext w:val="0"/>
        <w:keepLines w:val="0"/>
        <w:pageBreakBefore w:val="0"/>
        <w:widowControl/>
        <w:kinsoku/>
        <w:overflowPunct/>
        <w:topLinePunct w:val="0"/>
        <w:autoSpaceDN/>
        <w:bidi w:val="0"/>
        <w:adjustRightInd/>
        <w:snapToGrid w:val="0"/>
        <w:spacing w:before="0" w:beforeAutospacing="0" w:after="0" w:afterAutospacing="0" w:line="56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2023年度财政拨款收、支总计</w:t>
      </w:r>
      <w:r>
        <w:rPr>
          <w:rFonts w:hint="default" w:ascii="Times New Roman" w:hAnsi="Times New Roman" w:eastAsia="方正仿宋_GBK" w:cs="Times New Roman"/>
          <w:sz w:val="32"/>
          <w:szCs w:val="32"/>
          <w:shd w:val="clear" w:color="auto" w:fill="FFFFFF"/>
          <w:lang w:val="en-US" w:eastAsia="zh-CN"/>
        </w:rPr>
        <w:t>2253.04</w:t>
      </w:r>
      <w:r>
        <w:rPr>
          <w:rFonts w:hint="default" w:ascii="Times New Roman" w:hAnsi="Times New Roman" w:eastAsia="方正仿宋_GBK" w:cs="Times New Roman"/>
          <w:sz w:val="32"/>
          <w:szCs w:val="32"/>
          <w:shd w:val="clear" w:color="auto" w:fill="FFFFFF"/>
        </w:rPr>
        <w:t>万元。与2022年相比，财政拨款收、支总计各增加</w:t>
      </w:r>
      <w:r>
        <w:rPr>
          <w:rFonts w:hint="default" w:ascii="Times New Roman" w:hAnsi="Times New Roman" w:eastAsia="方正仿宋_GBK" w:cs="Times New Roman"/>
          <w:sz w:val="32"/>
          <w:szCs w:val="32"/>
          <w:shd w:val="clear" w:color="auto" w:fill="FFFFFF"/>
          <w:lang w:val="en-US" w:eastAsia="zh-CN"/>
        </w:rPr>
        <w:t>131.08</w:t>
      </w:r>
      <w:r>
        <w:rPr>
          <w:rFonts w:hint="default" w:ascii="Times New Roman" w:hAnsi="Times New Roman" w:eastAsia="方正仿宋_GBK" w:cs="Times New Roman"/>
          <w:sz w:val="32"/>
          <w:szCs w:val="32"/>
          <w:shd w:val="clear" w:color="auto" w:fill="FFFFFF"/>
        </w:rPr>
        <w:t>万元，增长</w:t>
      </w:r>
      <w:r>
        <w:rPr>
          <w:rFonts w:hint="default" w:ascii="Times New Roman" w:hAnsi="Times New Roman" w:eastAsia="方正仿宋_GBK" w:cs="Times New Roman"/>
          <w:sz w:val="32"/>
          <w:szCs w:val="32"/>
          <w:shd w:val="clear" w:color="auto" w:fill="FFFFFF"/>
          <w:lang w:val="en-US" w:eastAsia="zh-CN"/>
        </w:rPr>
        <w:t>5.9</w:t>
      </w:r>
      <w:r>
        <w:rPr>
          <w:rFonts w:hint="default" w:ascii="Times New Roman" w:hAnsi="Times New Roman" w:eastAsia="方正仿宋_GBK" w:cs="Times New Roman"/>
          <w:sz w:val="32"/>
          <w:szCs w:val="32"/>
          <w:shd w:val="clear" w:color="auto" w:fill="FFFFFF"/>
        </w:rPr>
        <w:t>3%。主要原因是</w:t>
      </w:r>
      <w:r>
        <w:rPr>
          <w:rFonts w:hint="default" w:ascii="Times New Roman" w:hAnsi="Times New Roman" w:eastAsia="方正仿宋_GBK" w:cs="Times New Roman"/>
          <w:sz w:val="32"/>
          <w:szCs w:val="32"/>
          <w:shd w:val="clear" w:color="auto" w:fill="FFFFFF"/>
          <w:lang w:val="en-US" w:eastAsia="zh-CN"/>
        </w:rPr>
        <w:t>由于机构改革，合并原公共资源综合交易中心收支数据</w:t>
      </w:r>
      <w:r>
        <w:rPr>
          <w:rFonts w:hint="default" w:ascii="Times New Roman" w:hAnsi="Times New Roman" w:eastAsia="方正仿宋_GBK" w:cs="Times New Roman"/>
          <w:sz w:val="32"/>
          <w:szCs w:val="32"/>
        </w:rPr>
        <w:t>。</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Style w:val="9"/>
          <w:rFonts w:hint="default" w:ascii="Times New Roman" w:hAnsi="Times New Roman" w:eastAsia="方正楷体_GBK" w:cs="Times New Roman"/>
          <w:b w:val="0"/>
          <w:bCs/>
          <w:kern w:val="2"/>
          <w:sz w:val="32"/>
          <w:szCs w:val="32"/>
          <w:shd w:val="clear" w:color="auto" w:fill="FFFFFF"/>
          <w:lang w:val="en-US" w:eastAsia="zh-CN" w:bidi="ar-SA"/>
        </w:rPr>
      </w:pPr>
      <w:r>
        <w:rPr>
          <w:rStyle w:val="9"/>
          <w:rFonts w:hint="default" w:ascii="Times New Roman" w:hAnsi="Times New Roman" w:eastAsia="方正楷体_GBK" w:cs="Times New Roman"/>
          <w:b w:val="0"/>
          <w:bCs/>
          <w:kern w:val="2"/>
          <w:sz w:val="32"/>
          <w:szCs w:val="32"/>
          <w:shd w:val="clear" w:color="auto" w:fill="FFFFFF"/>
          <w:lang w:val="en-US" w:eastAsia="zh-CN" w:bidi="ar-SA"/>
        </w:rPr>
        <w:t>（三）一般公共预算财政拨款收入支出决算情况说明</w:t>
      </w:r>
    </w:p>
    <w:p>
      <w:pPr>
        <w:pStyle w:val="7"/>
        <w:keepNext w:val="0"/>
        <w:keepLines w:val="0"/>
        <w:pageBreakBefore w:val="0"/>
        <w:widowControl/>
        <w:kinsoku/>
        <w:overflowPunct/>
        <w:topLinePunct w:val="0"/>
        <w:autoSpaceDN/>
        <w:bidi w:val="0"/>
        <w:adjustRightInd/>
        <w:snapToGrid w:val="0"/>
        <w:spacing w:before="0" w:beforeAutospacing="0" w:after="0" w:afterAutospacing="0" w:line="560" w:lineRule="exact"/>
        <w:ind w:firstLine="643" w:firstLineChars="200"/>
        <w:jc w:val="both"/>
        <w:rPr>
          <w:rFonts w:hint="default" w:ascii="Times New Roman" w:hAnsi="Times New Roman" w:eastAsia="方正仿宋_GBK" w:cs="Times New Roman"/>
          <w:sz w:val="32"/>
          <w:szCs w:val="32"/>
        </w:rPr>
      </w:pPr>
      <w:r>
        <w:rPr>
          <w:rStyle w:val="9"/>
          <w:rFonts w:hint="default" w:ascii="Times New Roman" w:hAnsi="Times New Roman" w:eastAsia="方正仿宋_GBK" w:cs="Times New Roman"/>
          <w:sz w:val="32"/>
          <w:szCs w:val="32"/>
          <w:shd w:val="clear" w:color="auto" w:fill="FFFFFF"/>
        </w:rPr>
        <w:t>1.收入情况。</w:t>
      </w:r>
      <w:r>
        <w:rPr>
          <w:rFonts w:hint="default" w:ascii="Times New Roman" w:hAnsi="Times New Roman" w:eastAsia="方正仿宋_GBK" w:cs="Times New Roman"/>
          <w:sz w:val="32"/>
          <w:szCs w:val="32"/>
          <w:shd w:val="clear" w:color="auto" w:fill="FFFFFF"/>
        </w:rPr>
        <w:t>2023年度一般公共预算财政拨款收入</w:t>
      </w:r>
      <w:r>
        <w:rPr>
          <w:rFonts w:hint="default" w:ascii="Times New Roman" w:hAnsi="Times New Roman" w:eastAsia="方正仿宋_GBK" w:cs="Times New Roman"/>
          <w:sz w:val="32"/>
          <w:szCs w:val="32"/>
          <w:lang w:val="en-US" w:eastAsia="zh-CN"/>
        </w:rPr>
        <w:t>2253.04</w:t>
      </w:r>
      <w:r>
        <w:rPr>
          <w:rFonts w:hint="default" w:ascii="Times New Roman" w:hAnsi="Times New Roman" w:eastAsia="方正仿宋_GBK" w:cs="Times New Roman"/>
          <w:sz w:val="32"/>
          <w:szCs w:val="32"/>
          <w:shd w:val="clear" w:color="auto" w:fill="FFFFFF"/>
        </w:rPr>
        <w:t>万元，较上年决算数增加</w:t>
      </w:r>
      <w:r>
        <w:rPr>
          <w:rFonts w:hint="default" w:ascii="Times New Roman" w:hAnsi="Times New Roman" w:eastAsia="方正仿宋_GBK" w:cs="Times New Roman"/>
          <w:sz w:val="32"/>
          <w:szCs w:val="32"/>
          <w:shd w:val="clear" w:color="auto" w:fill="FFFFFF"/>
          <w:lang w:val="en-US" w:eastAsia="zh-CN"/>
        </w:rPr>
        <w:t>131.08</w:t>
      </w:r>
      <w:r>
        <w:rPr>
          <w:rFonts w:hint="default" w:ascii="Times New Roman" w:hAnsi="Times New Roman" w:eastAsia="方正仿宋_GBK" w:cs="Times New Roman"/>
          <w:sz w:val="32"/>
          <w:szCs w:val="32"/>
          <w:shd w:val="clear" w:color="auto" w:fill="FFFFFF"/>
        </w:rPr>
        <w:t>万元，增长</w:t>
      </w:r>
      <w:r>
        <w:rPr>
          <w:rFonts w:hint="default" w:ascii="Times New Roman" w:hAnsi="Times New Roman" w:eastAsia="方正仿宋_GBK" w:cs="Times New Roman"/>
          <w:sz w:val="32"/>
          <w:szCs w:val="32"/>
          <w:shd w:val="clear" w:color="auto" w:fill="FFFFFF"/>
          <w:lang w:val="en-US" w:eastAsia="zh-CN"/>
        </w:rPr>
        <w:t>5.93</w:t>
      </w:r>
      <w:r>
        <w:rPr>
          <w:rFonts w:hint="default" w:ascii="Times New Roman" w:hAnsi="Times New Roman" w:eastAsia="方正仿宋_GBK" w:cs="Times New Roman"/>
          <w:sz w:val="32"/>
          <w:szCs w:val="32"/>
          <w:shd w:val="clear" w:color="auto" w:fill="FFFFFF"/>
        </w:rPr>
        <w:t>%。主要原因是</w:t>
      </w:r>
      <w:r>
        <w:rPr>
          <w:rFonts w:hint="default" w:ascii="Times New Roman" w:hAnsi="Times New Roman" w:eastAsia="方正仿宋_GBK" w:cs="Times New Roman"/>
          <w:sz w:val="32"/>
          <w:szCs w:val="32"/>
          <w:shd w:val="clear" w:color="auto" w:fill="FFFFFF"/>
          <w:lang w:val="en-US" w:eastAsia="zh-CN"/>
        </w:rPr>
        <w:t>由于机构改革，合并原公共资源综合交易中心收入数据</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shd w:val="clear" w:color="auto" w:fill="FFFFFF"/>
        </w:rPr>
        <w:t>较年初预算数减少1971.83万元，下降45.72%。</w:t>
      </w:r>
      <w:r>
        <w:rPr>
          <w:rFonts w:hint="default" w:ascii="Times New Roman" w:hAnsi="Times New Roman" w:eastAsia="方正仿宋_GBK" w:cs="Times New Roman"/>
          <w:sz w:val="32"/>
          <w:szCs w:val="32"/>
          <w:shd w:val="clear" w:color="auto" w:fill="FFFFFF"/>
          <w:lang w:val="en-US" w:eastAsia="zh-CN"/>
        </w:rPr>
        <w:t>主要原因是落实过紧日子要求，压减支出</w:t>
      </w:r>
      <w:r>
        <w:rPr>
          <w:rFonts w:hint="default" w:ascii="Times New Roman" w:hAnsi="Times New Roman" w:eastAsia="方正仿宋_GBK" w:cs="Times New Roman"/>
          <w:sz w:val="32"/>
          <w:szCs w:val="32"/>
          <w:shd w:val="clear" w:color="auto" w:fill="FFFFFF"/>
        </w:rPr>
        <w:t>。此外，年初财政拨款结转和结余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pPr>
        <w:pStyle w:val="7"/>
        <w:keepNext w:val="0"/>
        <w:keepLines w:val="0"/>
        <w:pageBreakBefore w:val="0"/>
        <w:widowControl/>
        <w:kinsoku/>
        <w:overflowPunct/>
        <w:topLinePunct w:val="0"/>
        <w:autoSpaceDN/>
        <w:bidi w:val="0"/>
        <w:adjustRightInd/>
        <w:snapToGrid w:val="0"/>
        <w:spacing w:before="0" w:beforeAutospacing="0" w:after="0" w:afterAutospacing="0" w:line="560" w:lineRule="exact"/>
        <w:ind w:firstLine="643" w:firstLineChars="200"/>
        <w:jc w:val="both"/>
        <w:rPr>
          <w:rFonts w:hint="default" w:ascii="Times New Roman" w:hAnsi="Times New Roman" w:eastAsia="方正仿宋_GBK" w:cs="Times New Roman"/>
          <w:sz w:val="32"/>
          <w:szCs w:val="32"/>
          <w:shd w:val="clear" w:color="auto" w:fill="FFFFFF"/>
        </w:rPr>
      </w:pPr>
      <w:r>
        <w:rPr>
          <w:rStyle w:val="9"/>
          <w:rFonts w:hint="default" w:ascii="Times New Roman" w:hAnsi="Times New Roman" w:eastAsia="方正仿宋_GBK" w:cs="Times New Roman"/>
          <w:sz w:val="32"/>
          <w:szCs w:val="32"/>
          <w:shd w:val="clear" w:color="auto" w:fill="FFFFFF"/>
        </w:rPr>
        <w:t>2.支出情况。</w:t>
      </w:r>
      <w:r>
        <w:rPr>
          <w:rFonts w:hint="default" w:ascii="Times New Roman" w:hAnsi="Times New Roman" w:eastAsia="方正仿宋_GBK" w:cs="Times New Roman"/>
          <w:sz w:val="32"/>
          <w:szCs w:val="32"/>
          <w:shd w:val="clear" w:color="auto" w:fill="FFFFFF"/>
        </w:rPr>
        <w:t>2023年度一般公共预算财政拨款支出</w:t>
      </w:r>
      <w:r>
        <w:rPr>
          <w:rFonts w:hint="default" w:ascii="Times New Roman" w:hAnsi="Times New Roman" w:eastAsia="方正仿宋_GBK" w:cs="Times New Roman"/>
          <w:sz w:val="32"/>
          <w:szCs w:val="32"/>
          <w:lang w:val="en-US" w:eastAsia="zh-CN"/>
        </w:rPr>
        <w:t>2253.04</w:t>
      </w:r>
      <w:r>
        <w:rPr>
          <w:rFonts w:hint="default" w:ascii="Times New Roman" w:hAnsi="Times New Roman" w:eastAsia="方正仿宋_GBK" w:cs="Times New Roman"/>
          <w:sz w:val="32"/>
          <w:szCs w:val="32"/>
          <w:shd w:val="clear" w:color="auto" w:fill="FFFFFF"/>
        </w:rPr>
        <w:t>万元，较上年决算数增加</w:t>
      </w:r>
      <w:r>
        <w:rPr>
          <w:rFonts w:hint="default" w:ascii="Times New Roman" w:hAnsi="Times New Roman" w:eastAsia="方正仿宋_GBK" w:cs="Times New Roman"/>
          <w:sz w:val="32"/>
          <w:szCs w:val="32"/>
          <w:shd w:val="clear" w:color="auto" w:fill="FFFFFF"/>
          <w:lang w:val="en-US" w:eastAsia="zh-CN"/>
        </w:rPr>
        <w:t>131.08</w:t>
      </w:r>
      <w:r>
        <w:rPr>
          <w:rFonts w:hint="default" w:ascii="Times New Roman" w:hAnsi="Times New Roman" w:eastAsia="方正仿宋_GBK" w:cs="Times New Roman"/>
          <w:sz w:val="32"/>
          <w:szCs w:val="32"/>
          <w:shd w:val="clear" w:color="auto" w:fill="FFFFFF"/>
        </w:rPr>
        <w:t>万元，增长</w:t>
      </w:r>
      <w:r>
        <w:rPr>
          <w:rFonts w:hint="default" w:ascii="Times New Roman" w:hAnsi="Times New Roman" w:eastAsia="方正仿宋_GBK" w:cs="Times New Roman"/>
          <w:sz w:val="32"/>
          <w:szCs w:val="32"/>
          <w:shd w:val="clear" w:color="auto" w:fill="FFFFFF"/>
          <w:lang w:val="en-US" w:eastAsia="zh-CN"/>
        </w:rPr>
        <w:t>5.9</w:t>
      </w:r>
      <w:r>
        <w:rPr>
          <w:rFonts w:hint="default" w:ascii="Times New Roman" w:hAnsi="Times New Roman" w:eastAsia="方正仿宋_GBK" w:cs="Times New Roman"/>
          <w:sz w:val="32"/>
          <w:szCs w:val="32"/>
          <w:shd w:val="clear" w:color="auto" w:fill="FFFFFF"/>
        </w:rPr>
        <w:t>3%。主要原因是</w:t>
      </w:r>
      <w:r>
        <w:rPr>
          <w:rFonts w:hint="default" w:ascii="Times New Roman" w:hAnsi="Times New Roman" w:eastAsia="方正仿宋_GBK" w:cs="Times New Roman"/>
          <w:sz w:val="32"/>
          <w:szCs w:val="32"/>
          <w:shd w:val="clear" w:color="auto" w:fill="FFFFFF"/>
          <w:lang w:val="en-US" w:eastAsia="zh-CN"/>
        </w:rPr>
        <w:t>由于机构改革，合并原公共资源综合交易中心收入数据</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shd w:val="clear" w:color="auto" w:fill="FFFFFF"/>
        </w:rPr>
        <w:t>较年初预算数减少1971.83万元，下降45.72%。</w:t>
      </w:r>
      <w:r>
        <w:rPr>
          <w:rFonts w:hint="default" w:ascii="Times New Roman" w:hAnsi="Times New Roman" w:eastAsia="方正仿宋_GBK" w:cs="Times New Roman"/>
          <w:sz w:val="32"/>
          <w:szCs w:val="32"/>
          <w:shd w:val="clear" w:color="auto" w:fill="FFFFFF"/>
          <w:lang w:val="en-US" w:eastAsia="zh-CN"/>
        </w:rPr>
        <w:t>主要原因是落实过紧日子要求，压减支出</w:t>
      </w:r>
      <w:r>
        <w:rPr>
          <w:rFonts w:hint="default" w:ascii="Times New Roman" w:hAnsi="Times New Roman" w:eastAsia="方正仿宋_GBK" w:cs="Times New Roman"/>
          <w:sz w:val="32"/>
          <w:szCs w:val="32"/>
          <w:shd w:val="clear" w:color="auto" w:fill="FFFFFF"/>
        </w:rPr>
        <w:t>。</w:t>
      </w:r>
    </w:p>
    <w:p>
      <w:pPr>
        <w:pStyle w:val="7"/>
        <w:keepNext w:val="0"/>
        <w:keepLines w:val="0"/>
        <w:pageBreakBefore w:val="0"/>
        <w:widowControl/>
        <w:kinsoku/>
        <w:overflowPunct/>
        <w:topLinePunct w:val="0"/>
        <w:autoSpaceDN/>
        <w:bidi w:val="0"/>
        <w:adjustRightInd/>
        <w:snapToGrid w:val="0"/>
        <w:spacing w:before="0" w:beforeAutospacing="0" w:after="0" w:afterAutospacing="0" w:line="560" w:lineRule="exact"/>
        <w:ind w:firstLine="643" w:firstLineChars="200"/>
        <w:jc w:val="both"/>
        <w:rPr>
          <w:rFonts w:hint="default" w:ascii="Times New Roman" w:hAnsi="Times New Roman" w:eastAsia="方正仿宋_GBK" w:cs="Times New Roman"/>
          <w:sz w:val="32"/>
          <w:szCs w:val="32"/>
        </w:rPr>
      </w:pPr>
      <w:r>
        <w:rPr>
          <w:rStyle w:val="9"/>
          <w:rFonts w:hint="default" w:ascii="Times New Roman" w:hAnsi="Times New Roman" w:eastAsia="方正仿宋_GBK" w:cs="Times New Roman"/>
          <w:sz w:val="32"/>
          <w:szCs w:val="32"/>
          <w:shd w:val="clear" w:color="auto" w:fill="FFFFFF"/>
        </w:rPr>
        <w:t>3.结转结余情况。</w:t>
      </w:r>
      <w:r>
        <w:rPr>
          <w:rFonts w:hint="default" w:ascii="Times New Roman" w:hAnsi="Times New Roman" w:eastAsia="方正仿宋_GBK" w:cs="Times New Roman"/>
          <w:sz w:val="32"/>
          <w:szCs w:val="32"/>
          <w:shd w:val="clear" w:color="auto" w:fill="FFFFFF"/>
        </w:rPr>
        <w:t>2023年度年末一般公共预算财政拨款结转和结余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万元，较上年决算数无增减</w:t>
      </w:r>
      <w:r>
        <w:rPr>
          <w:rFonts w:hint="default" w:ascii="Times New Roman" w:hAnsi="Times New Roman" w:eastAsia="方正仿宋_GBK" w:cs="Times New Roman"/>
          <w:sz w:val="32"/>
          <w:szCs w:val="32"/>
          <w:shd w:val="clear" w:color="auto" w:fill="FFFFFF"/>
          <w:lang w:eastAsia="zh-CN"/>
        </w:rPr>
        <w:t>。</w:t>
      </w:r>
    </w:p>
    <w:p>
      <w:pPr>
        <w:pStyle w:val="7"/>
        <w:keepNext w:val="0"/>
        <w:keepLines w:val="0"/>
        <w:pageBreakBefore w:val="0"/>
        <w:widowControl/>
        <w:kinsoku/>
        <w:overflowPunct/>
        <w:topLinePunct w:val="0"/>
        <w:autoSpaceDN/>
        <w:bidi w:val="0"/>
        <w:adjustRightInd/>
        <w:snapToGrid w:val="0"/>
        <w:spacing w:before="0" w:beforeAutospacing="0" w:after="0" w:afterAutospacing="0" w:line="560" w:lineRule="exact"/>
        <w:ind w:firstLine="643" w:firstLineChars="200"/>
        <w:jc w:val="both"/>
        <w:rPr>
          <w:rFonts w:hint="default" w:ascii="Times New Roman" w:hAnsi="Times New Roman" w:eastAsia="方正仿宋_GBK" w:cs="Times New Roman"/>
          <w:color w:val="4874CB" w:themeColor="accent1"/>
          <w:sz w:val="22"/>
          <w:szCs w:val="22"/>
          <w:highlight w:val="none"/>
          <w:shd w:val="clear" w:color="auto" w:fill="FFFFFF"/>
          <w14:textFill>
            <w14:solidFill>
              <w14:schemeClr w14:val="accent1"/>
            </w14:solidFill>
          </w14:textFill>
        </w:rPr>
      </w:pPr>
      <w:r>
        <w:rPr>
          <w:rStyle w:val="9"/>
          <w:rFonts w:hint="default" w:ascii="Times New Roman" w:hAnsi="Times New Roman" w:eastAsia="方正仿宋_GBK" w:cs="Times New Roman"/>
          <w:sz w:val="32"/>
          <w:szCs w:val="32"/>
          <w:shd w:val="clear" w:color="auto" w:fill="FFFFFF"/>
        </w:rPr>
        <w:t xml:space="preserve"> 4.比较情况。</w:t>
      </w:r>
      <w:r>
        <w:rPr>
          <w:rFonts w:hint="default" w:ascii="Times New Roman" w:hAnsi="Times New Roman" w:eastAsia="方正仿宋_GBK" w:cs="Times New Roman"/>
          <w:sz w:val="32"/>
          <w:szCs w:val="32"/>
          <w:shd w:val="clear" w:color="auto" w:fill="FFFFFF"/>
        </w:rPr>
        <w:t>本</w:t>
      </w:r>
      <w:r>
        <w:rPr>
          <w:rFonts w:hint="default" w:ascii="Times New Roman" w:hAnsi="Times New Roman" w:eastAsia="方正仿宋_GBK" w:cs="Times New Roman"/>
          <w:sz w:val="32"/>
          <w:szCs w:val="32"/>
          <w:shd w:val="clear" w:color="auto" w:fill="FFFFFF"/>
          <w:lang w:val="en-US" w:eastAsia="zh-CN"/>
        </w:rPr>
        <w:t>部门</w:t>
      </w:r>
      <w:r>
        <w:rPr>
          <w:rFonts w:hint="default" w:ascii="Times New Roman" w:hAnsi="Times New Roman" w:eastAsia="方正仿宋_GBK" w:cs="Times New Roman"/>
          <w:sz w:val="32"/>
          <w:szCs w:val="32"/>
          <w:shd w:val="clear" w:color="auto" w:fill="FFFFFF"/>
        </w:rPr>
        <w:t>2023年度一般公共预算财政拨款支出主要用于以下几个方面：</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shd w:val="clear" w:color="auto" w:fill="FFFFFF"/>
        </w:rPr>
        <w:t>（1）一般公共服务支出</w:t>
      </w:r>
      <w:r>
        <w:rPr>
          <w:rFonts w:hint="default" w:ascii="Times New Roman" w:hAnsi="Times New Roman" w:eastAsia="方正仿宋_GBK" w:cs="Times New Roman"/>
          <w:sz w:val="32"/>
          <w:szCs w:val="32"/>
        </w:rPr>
        <w:t>1,409.47</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6</w:t>
      </w:r>
      <w:r>
        <w:rPr>
          <w:rFonts w:hint="default" w:ascii="Times New Roman" w:hAnsi="Times New Roman" w:eastAsia="方正仿宋_GBK" w:cs="Times New Roman"/>
          <w:sz w:val="32"/>
          <w:szCs w:val="32"/>
          <w:lang w:val="en-US" w:eastAsia="zh-CN"/>
        </w:rPr>
        <w:t>2.56</w:t>
      </w:r>
      <w:r>
        <w:rPr>
          <w:rFonts w:hint="default" w:ascii="Times New Roman" w:hAnsi="Times New Roman" w:eastAsia="方正仿宋_GBK" w:cs="Times New Roman"/>
          <w:sz w:val="32"/>
          <w:szCs w:val="32"/>
          <w:shd w:val="clear" w:color="auto" w:fill="FFFFFF"/>
        </w:rPr>
        <w:t>%，较年初预算数减少538.09万元，下降27.45%，主要原因是</w:t>
      </w:r>
      <w:r>
        <w:rPr>
          <w:rFonts w:hint="default" w:ascii="Times New Roman" w:hAnsi="Times New Roman" w:eastAsia="方正仿宋_GBK" w:cs="Times New Roman"/>
          <w:sz w:val="32"/>
          <w:szCs w:val="32"/>
          <w:shd w:val="clear" w:color="auto" w:fill="FFFFFF"/>
          <w:lang w:val="en-US" w:eastAsia="zh-CN"/>
        </w:rPr>
        <w:t>落实过紧日子要求，压减支出。</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FF0000"/>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2</w:t>
      </w:r>
      <w:r>
        <w:rPr>
          <w:rFonts w:hint="default" w:ascii="Times New Roman" w:hAnsi="Times New Roman" w:eastAsia="方正仿宋_GBK" w:cs="Times New Roman"/>
          <w:sz w:val="32"/>
          <w:szCs w:val="32"/>
          <w:shd w:val="clear" w:color="auto" w:fill="FFFFFF"/>
        </w:rPr>
        <w:t>）社会保障与就业支出</w:t>
      </w:r>
      <w:r>
        <w:rPr>
          <w:rFonts w:hint="default" w:ascii="Times New Roman" w:hAnsi="Times New Roman" w:eastAsia="方正仿宋_GBK" w:cs="Times New Roman"/>
          <w:sz w:val="32"/>
          <w:szCs w:val="32"/>
        </w:rPr>
        <w:t>174.18</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7.73</w:t>
      </w:r>
      <w:r>
        <w:rPr>
          <w:rFonts w:hint="default" w:ascii="Times New Roman" w:hAnsi="Times New Roman" w:eastAsia="方正仿宋_GBK" w:cs="Times New Roman"/>
          <w:sz w:val="32"/>
          <w:szCs w:val="32"/>
          <w:shd w:val="clear" w:color="auto" w:fill="FFFFFF"/>
        </w:rPr>
        <w:t>%，较年初预算数减少28.62万元，下降13.65%，主要原因是</w:t>
      </w:r>
      <w:r>
        <w:rPr>
          <w:rFonts w:hint="default" w:ascii="Times New Roman" w:hAnsi="Times New Roman" w:eastAsia="方正仿宋_GBK" w:cs="Times New Roman"/>
          <w:sz w:val="32"/>
          <w:szCs w:val="32"/>
          <w:shd w:val="clear" w:color="auto" w:fill="FFFFFF"/>
          <w:lang w:val="en-US" w:eastAsia="zh-CN"/>
        </w:rPr>
        <w:t>由于人员变动，相关支出减少。</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3</w:t>
      </w:r>
      <w:r>
        <w:rPr>
          <w:rFonts w:hint="default" w:ascii="Times New Roman" w:hAnsi="Times New Roman" w:eastAsia="方正仿宋_GBK" w:cs="Times New Roman"/>
          <w:sz w:val="32"/>
          <w:szCs w:val="32"/>
          <w:shd w:val="clear" w:color="auto" w:fill="FFFFFF"/>
        </w:rPr>
        <w:t>）卫生健康支出</w:t>
      </w:r>
      <w:r>
        <w:rPr>
          <w:rFonts w:hint="default" w:ascii="Times New Roman" w:hAnsi="Times New Roman" w:eastAsia="方正仿宋_GBK" w:cs="Times New Roman"/>
          <w:sz w:val="32"/>
          <w:szCs w:val="32"/>
        </w:rPr>
        <w:t>45.22</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lang w:val="en-US" w:eastAsia="zh-CN"/>
        </w:rPr>
        <w:t>2.01</w:t>
      </w:r>
      <w:r>
        <w:rPr>
          <w:rFonts w:hint="default" w:ascii="Times New Roman" w:hAnsi="Times New Roman" w:eastAsia="方正仿宋_GBK" w:cs="Times New Roman"/>
          <w:sz w:val="32"/>
          <w:szCs w:val="32"/>
          <w:shd w:val="clear" w:color="auto" w:fill="FFFFFF"/>
        </w:rPr>
        <w:t>%，较年初预算数无增减</w:t>
      </w:r>
      <w:r>
        <w:rPr>
          <w:rFonts w:hint="default" w:ascii="Times New Roman" w:hAnsi="Times New Roman" w:eastAsia="方正仿宋_GBK" w:cs="Times New Roman"/>
          <w:sz w:val="32"/>
          <w:szCs w:val="32"/>
          <w:shd w:val="clear" w:color="auto" w:fill="FFFFFF"/>
          <w:lang w:eastAsia="zh-CN"/>
        </w:rPr>
        <w:t>。</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4</w:t>
      </w:r>
      <w:r>
        <w:rPr>
          <w:rFonts w:hint="default" w:ascii="Times New Roman" w:hAnsi="Times New Roman" w:eastAsia="方正仿宋_GBK" w:cs="Times New Roman"/>
          <w:sz w:val="32"/>
          <w:szCs w:val="32"/>
          <w:shd w:val="clear" w:color="auto" w:fill="FFFFFF"/>
        </w:rPr>
        <w:t>）农林水支出</w:t>
      </w:r>
      <w:r>
        <w:rPr>
          <w:rFonts w:hint="default" w:ascii="Times New Roman" w:hAnsi="Times New Roman" w:eastAsia="方正仿宋_GBK" w:cs="Times New Roman"/>
          <w:sz w:val="32"/>
          <w:szCs w:val="32"/>
        </w:rPr>
        <w:t>22.64</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lang w:val="en-US" w:eastAsia="zh-CN"/>
        </w:rPr>
        <w:t>1.00</w:t>
      </w:r>
      <w:r>
        <w:rPr>
          <w:rFonts w:hint="default" w:ascii="Times New Roman" w:hAnsi="Times New Roman" w:eastAsia="方正仿宋_GBK" w:cs="Times New Roman"/>
          <w:sz w:val="32"/>
          <w:szCs w:val="32"/>
          <w:shd w:val="clear" w:color="auto" w:fill="FFFFFF"/>
        </w:rPr>
        <w:t>%，较年初预算数减少1472.06万元，下降98.49%，主要原因是</w:t>
      </w:r>
      <w:r>
        <w:rPr>
          <w:rFonts w:hint="default" w:ascii="Times New Roman" w:hAnsi="Times New Roman" w:eastAsia="方正仿宋_GBK" w:cs="Times New Roman"/>
          <w:sz w:val="32"/>
          <w:szCs w:val="32"/>
          <w:shd w:val="clear" w:color="auto" w:fill="FFFFFF"/>
          <w:lang w:val="en-US" w:eastAsia="zh-CN"/>
        </w:rPr>
        <w:t>落实过紧日子要求，压减支出。</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5</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rPr>
        <w:t>住房保障支出</w:t>
      </w:r>
      <w:r>
        <w:rPr>
          <w:rFonts w:hint="default" w:ascii="Times New Roman" w:hAnsi="Times New Roman" w:eastAsia="方正仿宋_GBK" w:cs="Times New Roman"/>
          <w:sz w:val="32"/>
          <w:szCs w:val="32"/>
          <w:lang w:val="en-US" w:eastAsia="zh-CN"/>
        </w:rPr>
        <w:t>78.14</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3.</w:t>
      </w:r>
      <w:r>
        <w:rPr>
          <w:rFonts w:hint="default" w:ascii="Times New Roman" w:hAnsi="Times New Roman" w:eastAsia="方正仿宋_GBK" w:cs="Times New Roman"/>
          <w:sz w:val="32"/>
          <w:szCs w:val="32"/>
          <w:lang w:val="en-US" w:eastAsia="zh-CN"/>
        </w:rPr>
        <w:t>47</w:t>
      </w:r>
      <w:r>
        <w:rPr>
          <w:rFonts w:hint="default" w:ascii="Times New Roman" w:hAnsi="Times New Roman" w:eastAsia="方正仿宋_GBK" w:cs="Times New Roman"/>
          <w:sz w:val="32"/>
          <w:szCs w:val="32"/>
          <w:shd w:val="clear" w:color="auto" w:fill="FFFFFF"/>
        </w:rPr>
        <w:t>%，较年初预算数减少9.00万元，下降9.81%，</w:t>
      </w:r>
      <w:r>
        <w:rPr>
          <w:rFonts w:hint="default" w:ascii="Times New Roman" w:hAnsi="Times New Roman" w:eastAsia="方正仿宋_GBK" w:cs="Times New Roman"/>
          <w:sz w:val="32"/>
          <w:szCs w:val="32"/>
          <w:shd w:val="clear" w:color="auto" w:fill="FFFFFF"/>
          <w:lang w:val="en-US" w:eastAsia="zh-CN"/>
        </w:rPr>
        <w:t>主要原因是住房公积金年中调标，相应增加支出。</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6</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rPr>
        <w:t>粮油物资储备支出515.81</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lang w:val="en-US" w:eastAsia="zh-CN"/>
        </w:rPr>
        <w:t>22.89</w:t>
      </w:r>
      <w:r>
        <w:rPr>
          <w:rFonts w:hint="default" w:ascii="Times New Roman" w:hAnsi="Times New Roman" w:eastAsia="方正仿宋_GBK" w:cs="Times New Roman"/>
          <w:sz w:val="32"/>
          <w:szCs w:val="32"/>
          <w:shd w:val="clear" w:color="auto" w:fill="FFFFFF"/>
        </w:rPr>
        <w:t>%，较年初预算数减少314.04万元，下降37.84%，主要原因是</w:t>
      </w:r>
      <w:r>
        <w:rPr>
          <w:rFonts w:hint="default" w:ascii="Times New Roman" w:hAnsi="Times New Roman" w:eastAsia="方正仿宋_GBK" w:cs="Times New Roman"/>
          <w:sz w:val="32"/>
          <w:szCs w:val="32"/>
          <w:shd w:val="clear" w:color="auto" w:fill="FFFFFF"/>
          <w:lang w:val="en-US" w:eastAsia="zh-CN"/>
        </w:rPr>
        <w:t>落实过紧日子要求，压减支出。</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7</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rPr>
        <w:t>灾害防治及应急管理支出7.59</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lang w:val="en-US" w:eastAsia="zh-CN"/>
        </w:rPr>
        <w:t>34</w:t>
      </w:r>
      <w:r>
        <w:rPr>
          <w:rFonts w:hint="default" w:ascii="Times New Roman" w:hAnsi="Times New Roman" w:eastAsia="方正仿宋_GBK" w:cs="Times New Roman"/>
          <w:sz w:val="32"/>
          <w:szCs w:val="32"/>
          <w:shd w:val="clear" w:color="auto" w:fill="FFFFFF"/>
        </w:rPr>
        <w:t>%，较年初预算数减少2.41万元，下降24.10%，主要原因是</w:t>
      </w:r>
      <w:r>
        <w:rPr>
          <w:rFonts w:hint="default" w:ascii="Times New Roman" w:hAnsi="Times New Roman" w:eastAsia="方正仿宋_GBK" w:cs="Times New Roman"/>
          <w:sz w:val="32"/>
          <w:szCs w:val="32"/>
          <w:shd w:val="clear" w:color="auto" w:fill="FFFFFF"/>
          <w:lang w:val="en-US" w:eastAsia="zh-CN"/>
        </w:rPr>
        <w:t>落实过紧日子要求，压减支出。</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Style w:val="9"/>
          <w:rFonts w:hint="default" w:ascii="Times New Roman" w:hAnsi="Times New Roman" w:eastAsia="方正楷体_GBK" w:cs="Times New Roman"/>
          <w:b w:val="0"/>
          <w:bCs/>
          <w:kern w:val="2"/>
          <w:sz w:val="32"/>
          <w:szCs w:val="32"/>
          <w:shd w:val="clear" w:color="auto" w:fill="FFFFFF"/>
          <w:lang w:val="en-US" w:eastAsia="zh-CN" w:bidi="ar-SA"/>
        </w:rPr>
      </w:pPr>
      <w:r>
        <w:rPr>
          <w:rStyle w:val="9"/>
          <w:rFonts w:hint="default" w:ascii="Times New Roman" w:hAnsi="Times New Roman" w:eastAsia="方正楷体_GBK" w:cs="Times New Roman"/>
          <w:b w:val="0"/>
          <w:bCs/>
          <w:kern w:val="2"/>
          <w:sz w:val="32"/>
          <w:szCs w:val="32"/>
          <w:shd w:val="clear" w:color="auto" w:fill="FFFFFF"/>
          <w:lang w:val="en-US" w:eastAsia="zh-CN" w:bidi="ar-SA"/>
        </w:rPr>
        <w:t>（四）一般公共预算财政拨款基本支出决算情况说明</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6"/>
          <w:szCs w:val="36"/>
          <w:shd w:val="clear" w:color="auto" w:fill="FFFFFF"/>
          <w:lang w:val="en-US" w:eastAsia="zh-CN"/>
        </w:rPr>
      </w:pPr>
      <w:r>
        <w:rPr>
          <w:rFonts w:hint="default" w:ascii="Times New Roman" w:hAnsi="Times New Roman" w:eastAsia="方正仿宋_GBK" w:cs="Times New Roman"/>
          <w:sz w:val="32"/>
          <w:szCs w:val="32"/>
          <w:shd w:val="clear" w:color="auto" w:fill="FFFFFF"/>
        </w:rPr>
        <w:t>2023年度一般公共财政拨款基本支出</w:t>
      </w:r>
      <w:r>
        <w:rPr>
          <w:rFonts w:hint="default" w:ascii="Times New Roman" w:hAnsi="Times New Roman" w:eastAsia="方正仿宋_GBK" w:cs="Times New Roman"/>
          <w:sz w:val="32"/>
          <w:szCs w:val="32"/>
        </w:rPr>
        <w:t>1341.98</w:t>
      </w:r>
      <w:r>
        <w:rPr>
          <w:rFonts w:hint="default" w:ascii="Times New Roman" w:hAnsi="Times New Roman" w:eastAsia="方正仿宋_GBK" w:cs="Times New Roman"/>
          <w:sz w:val="32"/>
          <w:szCs w:val="32"/>
          <w:shd w:val="clear" w:color="auto" w:fill="FFFFFF"/>
        </w:rPr>
        <w:t>万元。其中：人员经费</w:t>
      </w:r>
      <w:r>
        <w:rPr>
          <w:rFonts w:hint="default" w:ascii="Times New Roman" w:hAnsi="Times New Roman" w:eastAsia="方正仿宋_GBK" w:cs="Times New Roman"/>
          <w:sz w:val="32"/>
          <w:szCs w:val="32"/>
          <w:lang w:val="en-US" w:eastAsia="zh-CN"/>
        </w:rPr>
        <w:t>1095.81</w:t>
      </w:r>
      <w:r>
        <w:rPr>
          <w:rFonts w:hint="default" w:ascii="Times New Roman" w:hAnsi="Times New Roman" w:eastAsia="方正仿宋_GBK" w:cs="Times New Roman"/>
          <w:sz w:val="32"/>
          <w:szCs w:val="32"/>
          <w:shd w:val="clear" w:color="auto" w:fill="FFFFFF"/>
        </w:rPr>
        <w:t>万元，较上年决算数增加</w:t>
      </w:r>
      <w:r>
        <w:rPr>
          <w:rFonts w:hint="default" w:ascii="Times New Roman" w:hAnsi="Times New Roman" w:eastAsia="方正仿宋_GBK" w:cs="Times New Roman"/>
          <w:sz w:val="32"/>
          <w:szCs w:val="32"/>
          <w:shd w:val="clear" w:color="auto" w:fill="FFFFFF"/>
          <w:lang w:val="en-US" w:eastAsia="zh-CN"/>
        </w:rPr>
        <w:t>179.03</w:t>
      </w:r>
      <w:r>
        <w:rPr>
          <w:rFonts w:hint="default" w:ascii="Times New Roman" w:hAnsi="Times New Roman" w:eastAsia="方正仿宋_GBK" w:cs="Times New Roman"/>
          <w:sz w:val="32"/>
          <w:szCs w:val="32"/>
          <w:shd w:val="clear" w:color="auto" w:fill="FFFFFF"/>
        </w:rPr>
        <w:t>万元，增长22.45%，主要原因是</w:t>
      </w:r>
      <w:r>
        <w:rPr>
          <w:rFonts w:hint="default" w:ascii="Times New Roman" w:hAnsi="Times New Roman" w:eastAsia="方正仿宋_GBK" w:cs="Times New Roman"/>
          <w:sz w:val="32"/>
          <w:szCs w:val="32"/>
          <w:shd w:val="clear" w:color="auto" w:fill="FFFFFF"/>
          <w:lang w:val="en-US" w:eastAsia="zh-CN"/>
        </w:rPr>
        <w:t>由于机构改革，合并原公共资源综合交易中心人员经费数据</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shd w:val="clear" w:color="auto" w:fill="FFFFFF"/>
        </w:rPr>
        <w:t>人员经费用途主要包括</w:t>
      </w:r>
      <w:r>
        <w:rPr>
          <w:rFonts w:hint="default" w:ascii="Times New Roman" w:hAnsi="Times New Roman" w:eastAsia="方正仿宋_GBK" w:cs="Times New Roman"/>
          <w:sz w:val="32"/>
          <w:szCs w:val="32"/>
          <w:shd w:val="clear" w:color="auto" w:fill="FFFFFF"/>
          <w:lang w:val="en-US" w:eastAsia="zh-CN"/>
        </w:rPr>
        <w:t>基本工资、津贴补贴、绩效工资、奖金、社会保障缴费、住房公积金等。</w:t>
      </w:r>
      <w:r>
        <w:rPr>
          <w:rFonts w:hint="default" w:ascii="Times New Roman" w:hAnsi="Times New Roman" w:eastAsia="方正仿宋_GBK" w:cs="Times New Roman"/>
          <w:sz w:val="32"/>
          <w:szCs w:val="32"/>
          <w:shd w:val="clear" w:color="auto" w:fill="FFFFFF"/>
        </w:rPr>
        <w:t>公用经费</w:t>
      </w:r>
      <w:r>
        <w:rPr>
          <w:rFonts w:hint="default" w:ascii="Times New Roman" w:hAnsi="Times New Roman" w:eastAsia="方正仿宋_GBK" w:cs="Times New Roman"/>
          <w:sz w:val="32"/>
          <w:szCs w:val="32"/>
        </w:rPr>
        <w:t>246.17</w:t>
      </w:r>
      <w:r>
        <w:rPr>
          <w:rFonts w:hint="default" w:ascii="Times New Roman" w:hAnsi="Times New Roman" w:eastAsia="方正仿宋_GBK" w:cs="Times New Roman"/>
          <w:sz w:val="32"/>
          <w:szCs w:val="32"/>
          <w:shd w:val="clear" w:color="auto" w:fill="FFFFFF"/>
        </w:rPr>
        <w:t>万元，较上年决算数增加80.59万元，增长48.67%，主要原因</w:t>
      </w:r>
      <w:r>
        <w:rPr>
          <w:rFonts w:hint="default" w:ascii="Times New Roman" w:hAnsi="Times New Roman" w:eastAsia="方正仿宋_GBK" w:cs="Times New Roman"/>
          <w:sz w:val="32"/>
          <w:szCs w:val="32"/>
          <w:shd w:val="clear" w:color="auto" w:fill="FFFFFF"/>
          <w:lang w:val="en-US" w:eastAsia="zh-CN"/>
        </w:rPr>
        <w:t>一</w:t>
      </w:r>
      <w:r>
        <w:rPr>
          <w:rFonts w:hint="default" w:ascii="Times New Roman" w:hAnsi="Times New Roman" w:eastAsia="方正仿宋_GBK" w:cs="Times New Roman"/>
          <w:sz w:val="32"/>
          <w:szCs w:val="32"/>
          <w:shd w:val="clear" w:color="auto" w:fill="FFFFFF"/>
        </w:rPr>
        <w:t>是</w:t>
      </w:r>
      <w:r>
        <w:rPr>
          <w:rFonts w:hint="default" w:ascii="Times New Roman" w:hAnsi="Times New Roman" w:eastAsia="方正仿宋_GBK" w:cs="Times New Roman"/>
          <w:sz w:val="32"/>
          <w:szCs w:val="32"/>
          <w:shd w:val="clear" w:color="auto" w:fill="FFFFFF"/>
          <w:lang w:val="en-US" w:eastAsia="zh-CN"/>
        </w:rPr>
        <w:t>由于机构改革，合并原公共资源综合交易中心公用经费数据</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二是</w:t>
      </w:r>
      <w:r>
        <w:rPr>
          <w:rFonts w:hint="default" w:ascii="Times New Roman" w:hAnsi="Times New Roman" w:eastAsia="方正仿宋_GBK" w:cs="Times New Roman"/>
          <w:sz w:val="32"/>
          <w:szCs w:val="32"/>
          <w:shd w:val="clear" w:color="auto" w:fill="FFFFFF"/>
          <w:lang w:val="en-US" w:eastAsia="zh-CN"/>
        </w:rPr>
        <w:t>随着疫情常态化，办公费、差旅费、公务用车运行维护费等公用经费恢复常态；三是2023年度新增公务车购置费44.54万元。公用经费用途主要包括办公费、通讯费、差旅费、水电费、物业管理费、劳务费、公务用车运行维护费等保障单位正常运转的费用。</w:t>
      </w:r>
    </w:p>
    <w:p>
      <w:pPr>
        <w:pStyle w:val="12"/>
        <w:keepNext w:val="0"/>
        <w:keepLines w:val="0"/>
        <w:pageBreakBefore w:val="0"/>
        <w:widowControl w:val="0"/>
        <w:kinsoku/>
        <w:wordWrap/>
        <w:overflowPunct/>
        <w:topLinePunct w:val="0"/>
        <w:autoSpaceDE w:val="0"/>
        <w:autoSpaceDN/>
        <w:bidi w:val="0"/>
        <w:adjustRightInd/>
        <w:snapToGrid/>
        <w:spacing w:line="560" w:lineRule="exact"/>
        <w:ind w:firstLine="640"/>
        <w:jc w:val="both"/>
        <w:textAlignment w:val="auto"/>
        <w:rPr>
          <w:rFonts w:hint="default" w:ascii="Times New Roman" w:hAnsi="Times New Roman" w:eastAsia="方正楷体_GBK" w:cs="Times New Roman"/>
          <w:b w:val="0"/>
          <w:bCs w:val="0"/>
          <w:sz w:val="32"/>
          <w:szCs w:val="32"/>
          <w:shd w:val="clear" w:color="auto" w:fill="FFFFFF"/>
          <w:lang w:bidi="ar"/>
        </w:rPr>
      </w:pPr>
      <w:r>
        <w:rPr>
          <w:rFonts w:hint="default" w:ascii="Times New Roman" w:hAnsi="Times New Roman" w:eastAsia="方正楷体_GBK" w:cs="Times New Roman"/>
          <w:b w:val="0"/>
          <w:bCs w:val="0"/>
          <w:sz w:val="32"/>
          <w:szCs w:val="32"/>
          <w:shd w:val="clear" w:color="auto" w:fill="FFFFFF"/>
          <w:lang w:bidi="ar"/>
        </w:rPr>
        <w:t>（五）政府性基金预算收支决算情况说明</w:t>
      </w:r>
    </w:p>
    <w:p>
      <w:pPr>
        <w:pStyle w:val="12"/>
        <w:keepNext w:val="0"/>
        <w:keepLines w:val="0"/>
        <w:pageBreakBefore w:val="0"/>
        <w:widowControl w:val="0"/>
        <w:kinsoku/>
        <w:wordWrap/>
        <w:overflowPunct/>
        <w:topLinePunct w:val="0"/>
        <w:autoSpaceDE w:val="0"/>
        <w:autoSpaceDN/>
        <w:bidi w:val="0"/>
        <w:adjustRightInd/>
        <w:snapToGrid/>
        <w:spacing w:line="560" w:lineRule="exact"/>
        <w:ind w:firstLine="640"/>
        <w:jc w:val="both"/>
        <w:textAlignment w:val="auto"/>
        <w:rPr>
          <w:rFonts w:hint="default" w:ascii="Times New Roman" w:hAnsi="Times New Roman" w:eastAsia="方正仿宋_GBK" w:cs="Times New Roman"/>
          <w:sz w:val="32"/>
          <w:szCs w:val="32"/>
          <w:shd w:val="clear" w:color="auto" w:fill="FFFFFF"/>
          <w:lang w:val="en-US" w:eastAsia="zh-CN" w:bidi="ar-SA"/>
        </w:rPr>
      </w:pPr>
      <w:r>
        <w:rPr>
          <w:rFonts w:hint="default" w:ascii="Times New Roman" w:hAnsi="Times New Roman" w:eastAsia="方正仿宋_GBK" w:cs="Times New Roman"/>
          <w:sz w:val="32"/>
          <w:szCs w:val="32"/>
          <w:shd w:val="clear" w:color="auto" w:fill="FFFFFF"/>
          <w:lang w:val="en-US" w:eastAsia="zh-CN" w:bidi="ar-SA"/>
        </w:rPr>
        <w:t>本部门2023年度无政府性基金预算财政拨款收支。</w:t>
      </w:r>
    </w:p>
    <w:p>
      <w:pPr>
        <w:pStyle w:val="12"/>
        <w:keepNext w:val="0"/>
        <w:keepLines w:val="0"/>
        <w:pageBreakBefore w:val="0"/>
        <w:widowControl w:val="0"/>
        <w:kinsoku/>
        <w:wordWrap/>
        <w:overflowPunct/>
        <w:topLinePunct w:val="0"/>
        <w:autoSpaceDE w:val="0"/>
        <w:autoSpaceDN/>
        <w:bidi w:val="0"/>
        <w:adjustRightInd/>
        <w:snapToGrid/>
        <w:spacing w:line="560" w:lineRule="exact"/>
        <w:ind w:firstLine="640"/>
        <w:jc w:val="both"/>
        <w:textAlignment w:val="auto"/>
        <w:rPr>
          <w:rFonts w:hint="default" w:ascii="Times New Roman" w:hAnsi="Times New Roman" w:eastAsia="方正楷体_GBK" w:cs="Times New Roman"/>
          <w:b w:val="0"/>
          <w:bCs w:val="0"/>
          <w:sz w:val="32"/>
          <w:szCs w:val="32"/>
          <w:shd w:val="clear" w:color="auto" w:fill="FFFFFF"/>
          <w:lang w:bidi="ar"/>
        </w:rPr>
      </w:pPr>
      <w:r>
        <w:rPr>
          <w:rFonts w:hint="default" w:ascii="Times New Roman" w:hAnsi="Times New Roman" w:eastAsia="方正楷体_GBK" w:cs="Times New Roman"/>
          <w:b w:val="0"/>
          <w:bCs w:val="0"/>
          <w:sz w:val="32"/>
          <w:szCs w:val="32"/>
          <w:shd w:val="clear" w:color="auto" w:fill="FFFFFF"/>
          <w:lang w:bidi="ar"/>
        </w:rPr>
        <w:t>（六）国有资本经营预算财政拨款支出决算情况说明</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shd w:val="clear" w:color="auto" w:fill="FFFFFF"/>
          <w:lang w:val="en-US" w:eastAsia="zh-CN" w:bidi="ar-SA"/>
        </w:rPr>
      </w:pPr>
      <w:r>
        <w:rPr>
          <w:rFonts w:hint="default" w:ascii="Times New Roman" w:hAnsi="Times New Roman" w:eastAsia="方正仿宋_GBK" w:cs="Times New Roman"/>
          <w:sz w:val="32"/>
          <w:szCs w:val="32"/>
          <w:shd w:val="clear" w:color="auto" w:fill="FFFFFF"/>
        </w:rPr>
        <w:t> </w:t>
      </w:r>
      <w:r>
        <w:rPr>
          <w:rFonts w:hint="default" w:ascii="Times New Roman" w:hAnsi="Times New Roman" w:eastAsia="方正仿宋_GBK" w:cs="Times New Roman"/>
          <w:sz w:val="32"/>
          <w:szCs w:val="32"/>
          <w:shd w:val="clear" w:color="auto" w:fill="FFFFFF"/>
          <w:lang w:val="en-US" w:eastAsia="zh-CN" w:bidi="ar-SA"/>
        </w:rPr>
        <w:t>本部门2023年度无国有资本经营预算财政拨款支出。</w:t>
      </w:r>
    </w:p>
    <w:p>
      <w:pPr>
        <w:pStyle w:val="7"/>
        <w:keepNext w:val="0"/>
        <w:keepLines w:val="0"/>
        <w:pageBreakBefore w:val="0"/>
        <w:widowControl w:val="0"/>
        <w:numPr>
          <w:ilvl w:val="0"/>
          <w:numId w:val="0"/>
        </w:numPr>
        <w:kinsoku/>
        <w:wordWrap/>
        <w:overflowPunct/>
        <w:topLinePunct w:val="0"/>
        <w:autoSpaceDE/>
        <w:autoSpaceDN/>
        <w:bidi w:val="0"/>
        <w:adjustRightInd/>
        <w:snapToGrid w:val="0"/>
        <w:spacing w:before="0" w:beforeAutospacing="0" w:after="0" w:afterAutospacing="0" w:line="560" w:lineRule="exact"/>
        <w:ind w:leftChars="0" w:firstLine="640" w:firstLineChars="200"/>
        <w:jc w:val="both"/>
        <w:textAlignment w:val="auto"/>
        <w:rPr>
          <w:rStyle w:val="9"/>
          <w:rFonts w:hint="default" w:ascii="Times New Roman" w:hAnsi="Times New Roman" w:eastAsia="方正仿宋_GBK" w:cs="Times New Roman"/>
          <w:b w:val="0"/>
          <w:bCs/>
          <w:sz w:val="32"/>
          <w:szCs w:val="32"/>
          <w:shd w:val="clear" w:color="auto" w:fill="FFFF00"/>
        </w:rPr>
      </w:pPr>
      <w:r>
        <w:rPr>
          <w:rStyle w:val="9"/>
          <w:rFonts w:hint="default" w:ascii="Times New Roman" w:hAnsi="Times New Roman" w:eastAsia="方正黑体_GBK" w:cs="Times New Roman"/>
          <w:b w:val="0"/>
          <w:bCs/>
          <w:sz w:val="32"/>
          <w:szCs w:val="32"/>
          <w:shd w:val="clear" w:color="auto" w:fill="FFFFFF"/>
          <w:lang w:eastAsia="zh-CN"/>
        </w:rPr>
        <w:t>三、</w:t>
      </w:r>
      <w:r>
        <w:rPr>
          <w:rStyle w:val="9"/>
          <w:rFonts w:hint="default" w:ascii="Times New Roman" w:hAnsi="Times New Roman" w:eastAsia="方正黑体_GBK" w:cs="Times New Roman"/>
          <w:b w:val="0"/>
          <w:bCs/>
          <w:sz w:val="32"/>
          <w:szCs w:val="32"/>
          <w:shd w:val="clear" w:color="auto" w:fill="FFFFFF"/>
        </w:rPr>
        <w:t>“三公”经费情况说明</w:t>
      </w:r>
    </w:p>
    <w:p>
      <w:pPr>
        <w:pStyle w:val="12"/>
        <w:keepNext w:val="0"/>
        <w:keepLines w:val="0"/>
        <w:pageBreakBefore w:val="0"/>
        <w:widowControl w:val="0"/>
        <w:kinsoku/>
        <w:wordWrap/>
        <w:overflowPunct/>
        <w:topLinePunct w:val="0"/>
        <w:autoSpaceDE w:val="0"/>
        <w:autoSpaceDN/>
        <w:bidi w:val="0"/>
        <w:adjustRightInd/>
        <w:spacing w:line="560" w:lineRule="exact"/>
        <w:ind w:firstLine="640"/>
        <w:jc w:val="both"/>
        <w:textAlignment w:val="auto"/>
        <w:rPr>
          <w:rFonts w:hint="default" w:ascii="Times New Roman" w:hAnsi="Times New Roman" w:eastAsia="方正楷体_GBK" w:cs="Times New Roman"/>
          <w:b w:val="0"/>
          <w:bCs w:val="0"/>
          <w:sz w:val="32"/>
          <w:szCs w:val="32"/>
          <w:shd w:val="clear" w:color="auto" w:fill="FFFFFF"/>
          <w:lang w:bidi="ar"/>
        </w:rPr>
      </w:pPr>
      <w:r>
        <w:rPr>
          <w:rFonts w:hint="default" w:ascii="Times New Roman" w:hAnsi="Times New Roman" w:eastAsia="方正楷体_GBK" w:cs="Times New Roman"/>
          <w:b w:val="0"/>
          <w:bCs w:val="0"/>
          <w:sz w:val="32"/>
          <w:szCs w:val="32"/>
          <w:shd w:val="clear" w:color="auto" w:fill="FFFFFF"/>
          <w:lang w:bidi="ar"/>
        </w:rPr>
        <w:t>（一）“三公”经费支出总体情况说明</w:t>
      </w:r>
    </w:p>
    <w:p>
      <w:pPr>
        <w:pStyle w:val="12"/>
        <w:keepNext w:val="0"/>
        <w:keepLines w:val="0"/>
        <w:pageBreakBefore w:val="0"/>
        <w:widowControl w:val="0"/>
        <w:kinsoku/>
        <w:wordWrap/>
        <w:overflowPunct/>
        <w:topLinePunct w:val="0"/>
        <w:autoSpaceDE w:val="0"/>
        <w:autoSpaceDN/>
        <w:bidi w:val="0"/>
        <w:adjustRightInd/>
        <w:spacing w:line="560" w:lineRule="exact"/>
        <w:ind w:firstLine="640"/>
        <w:jc w:val="both"/>
        <w:textAlignment w:val="auto"/>
        <w:rPr>
          <w:rFonts w:hint="default" w:ascii="Times New Roman" w:hAnsi="Times New Roman" w:eastAsia="方正仿宋_GBK" w:cs="Times New Roman"/>
          <w:sz w:val="32"/>
          <w:szCs w:val="32"/>
          <w:shd w:val="clear" w:color="auto" w:fill="FFFFFF"/>
          <w:lang w:val="en-US" w:eastAsia="zh-CN" w:bidi="ar-SA"/>
        </w:rPr>
      </w:pPr>
      <w:r>
        <w:rPr>
          <w:rFonts w:hint="default" w:ascii="Times New Roman" w:hAnsi="Times New Roman" w:eastAsia="方正仿宋_GBK" w:cs="Times New Roman"/>
          <w:sz w:val="32"/>
          <w:szCs w:val="32"/>
          <w:shd w:val="clear" w:color="auto" w:fill="FFFFFF"/>
        </w:rPr>
        <w:t>2023年度“三公”经费支出共计</w:t>
      </w:r>
      <w:r>
        <w:rPr>
          <w:rFonts w:hint="default" w:ascii="Times New Roman" w:hAnsi="Times New Roman" w:eastAsia="方正仿宋_GBK" w:cs="Times New Roman"/>
          <w:sz w:val="32"/>
          <w:szCs w:val="32"/>
        </w:rPr>
        <w:t>59.14</w:t>
      </w:r>
      <w:r>
        <w:rPr>
          <w:rFonts w:hint="default" w:ascii="Times New Roman" w:hAnsi="Times New Roman" w:eastAsia="方正仿宋_GBK" w:cs="Times New Roman"/>
          <w:sz w:val="32"/>
          <w:szCs w:val="32"/>
          <w:shd w:val="clear" w:color="auto" w:fill="FFFFFF"/>
        </w:rPr>
        <w:t>万元，较年初预算数减少9.26万元，下降13.54%，主要原因是</w:t>
      </w:r>
      <w:r>
        <w:rPr>
          <w:rFonts w:hint="default" w:ascii="Times New Roman" w:hAnsi="Times New Roman" w:eastAsia="方正仿宋_GBK" w:cs="Times New Roman"/>
          <w:sz w:val="32"/>
          <w:szCs w:val="32"/>
          <w:shd w:val="clear" w:color="auto" w:fill="FFFFFF"/>
          <w:lang w:val="en-US" w:eastAsia="zh-CN"/>
        </w:rPr>
        <w:t>认真贯彻落实中央八项规定精神和党政机关落实过紧日子相关举措，从严控制“三公”经费。</w:t>
      </w:r>
      <w:r>
        <w:rPr>
          <w:rFonts w:hint="default" w:ascii="Times New Roman" w:hAnsi="Times New Roman" w:eastAsia="方正仿宋_GBK" w:cs="Times New Roman"/>
          <w:sz w:val="32"/>
          <w:szCs w:val="32"/>
          <w:shd w:val="clear" w:color="auto" w:fill="FFFFFF"/>
        </w:rPr>
        <w:t>较上年支出数增加43.64万元，增长281.55%，主要原因是</w:t>
      </w:r>
      <w:r>
        <w:rPr>
          <w:rFonts w:hint="default" w:ascii="Times New Roman" w:hAnsi="Times New Roman" w:eastAsia="方正仿宋_GBK" w:cs="Times New Roman"/>
          <w:sz w:val="32"/>
          <w:szCs w:val="32"/>
          <w:shd w:val="clear" w:color="auto" w:fill="FFFFFF"/>
          <w:lang w:val="en-US" w:eastAsia="zh-CN"/>
        </w:rPr>
        <w:t>为保障各项工作正常开展，购置公务用车2辆，增加公务用车</w:t>
      </w:r>
      <w:r>
        <w:rPr>
          <w:rFonts w:hint="default" w:ascii="Times New Roman" w:hAnsi="Times New Roman" w:eastAsia="方正仿宋_GBK" w:cs="Times New Roman"/>
          <w:sz w:val="32"/>
          <w:szCs w:val="32"/>
          <w:shd w:val="clear" w:color="auto" w:fill="FFFFFF"/>
        </w:rPr>
        <w:t>购置费</w:t>
      </w:r>
      <w:r>
        <w:rPr>
          <w:rFonts w:hint="default" w:ascii="Times New Roman" w:hAnsi="Times New Roman" w:eastAsia="方正仿宋_GBK" w:cs="Times New Roman"/>
          <w:sz w:val="32"/>
          <w:szCs w:val="32"/>
        </w:rPr>
        <w:t>44.54</w:t>
      </w:r>
      <w:r>
        <w:rPr>
          <w:rFonts w:hint="default" w:ascii="Times New Roman" w:hAnsi="Times New Roman" w:eastAsia="方正仿宋_GBK" w:cs="Times New Roman"/>
          <w:sz w:val="32"/>
          <w:szCs w:val="32"/>
          <w:shd w:val="clear" w:color="auto" w:fill="FFFFFF"/>
        </w:rPr>
        <w:t>万元</w:t>
      </w:r>
      <w:r>
        <w:rPr>
          <w:rFonts w:hint="default" w:ascii="Times New Roman" w:hAnsi="Times New Roman" w:eastAsia="方正仿宋_GBK" w:cs="Times New Roman"/>
          <w:sz w:val="32"/>
          <w:szCs w:val="32"/>
          <w:shd w:val="clear" w:color="auto" w:fill="FFFFFF"/>
          <w:lang w:eastAsia="zh-CN"/>
        </w:rPr>
        <w:t>。</w:t>
      </w:r>
    </w:p>
    <w:p>
      <w:pPr>
        <w:pStyle w:val="12"/>
        <w:keepNext w:val="0"/>
        <w:keepLines w:val="0"/>
        <w:pageBreakBefore w:val="0"/>
        <w:widowControl w:val="0"/>
        <w:kinsoku/>
        <w:wordWrap/>
        <w:overflowPunct/>
        <w:topLinePunct w:val="0"/>
        <w:autoSpaceDE w:val="0"/>
        <w:autoSpaceDN/>
        <w:bidi w:val="0"/>
        <w:adjustRightInd/>
        <w:spacing w:line="560" w:lineRule="exact"/>
        <w:ind w:firstLine="640"/>
        <w:jc w:val="both"/>
        <w:textAlignment w:val="auto"/>
        <w:rPr>
          <w:rFonts w:hint="default" w:ascii="Times New Roman" w:hAnsi="Times New Roman" w:eastAsia="方正楷体_GBK" w:cs="Times New Roman"/>
          <w:b w:val="0"/>
          <w:bCs w:val="0"/>
          <w:sz w:val="32"/>
          <w:szCs w:val="32"/>
          <w:shd w:val="clear" w:color="auto" w:fill="FFFFFF"/>
          <w:lang w:bidi="ar"/>
        </w:rPr>
      </w:pPr>
      <w:r>
        <w:rPr>
          <w:rFonts w:hint="default" w:ascii="Times New Roman" w:hAnsi="Times New Roman" w:eastAsia="方正楷体_GBK" w:cs="Times New Roman"/>
          <w:b w:val="0"/>
          <w:bCs w:val="0"/>
          <w:sz w:val="32"/>
          <w:szCs w:val="32"/>
          <w:shd w:val="clear" w:color="auto" w:fill="FFFFFF"/>
          <w:lang w:bidi="ar"/>
        </w:rPr>
        <w:t>（二）“三公”经费分项支出情况</w:t>
      </w:r>
    </w:p>
    <w:p>
      <w:pPr>
        <w:pStyle w:val="12"/>
        <w:keepNext w:val="0"/>
        <w:keepLines w:val="0"/>
        <w:pageBreakBefore w:val="0"/>
        <w:widowControl w:val="0"/>
        <w:kinsoku/>
        <w:wordWrap/>
        <w:overflowPunct/>
        <w:topLinePunct w:val="0"/>
        <w:autoSpaceDE w:val="0"/>
        <w:autoSpaceDN/>
        <w:bidi w:val="0"/>
        <w:adjustRightInd/>
        <w:spacing w:line="560" w:lineRule="exact"/>
        <w:ind w:firstLine="640"/>
        <w:jc w:val="both"/>
        <w:textAlignment w:val="auto"/>
        <w:rPr>
          <w:rFonts w:hint="default" w:ascii="Times New Roman" w:hAnsi="Times New Roman" w:eastAsia="方正仿宋_GBK" w:cs="Times New Roman"/>
          <w:sz w:val="32"/>
          <w:szCs w:val="32"/>
          <w:shd w:val="clear" w:color="auto" w:fill="FFFFFF"/>
          <w:lang w:val="en-US" w:eastAsia="zh-CN" w:bidi="ar-SA"/>
        </w:rPr>
      </w:pPr>
      <w:r>
        <w:rPr>
          <w:rFonts w:hint="default" w:ascii="Times New Roman" w:hAnsi="Times New Roman" w:eastAsia="方正仿宋_GBK" w:cs="Times New Roman"/>
          <w:sz w:val="32"/>
          <w:szCs w:val="32"/>
          <w:shd w:val="clear" w:color="auto" w:fill="FFFFFF"/>
        </w:rPr>
        <w:t>2023年度本</w:t>
      </w:r>
      <w:r>
        <w:rPr>
          <w:rFonts w:hint="default" w:ascii="Times New Roman" w:hAnsi="Times New Roman" w:eastAsia="方正仿宋_GBK" w:cs="Times New Roman"/>
          <w:sz w:val="32"/>
          <w:szCs w:val="32"/>
          <w:shd w:val="clear" w:color="auto" w:fill="FFFFFF"/>
          <w:lang w:val="en-US" w:eastAsia="zh-CN" w:bidi="ar-SA"/>
        </w:rPr>
        <w:t>部门</w:t>
      </w:r>
      <w:r>
        <w:rPr>
          <w:rFonts w:hint="default" w:ascii="Times New Roman" w:hAnsi="Times New Roman" w:eastAsia="方正仿宋_GBK" w:cs="Times New Roman"/>
          <w:sz w:val="32"/>
          <w:szCs w:val="32"/>
          <w:shd w:val="clear" w:color="auto" w:fill="FFFFFF"/>
        </w:rPr>
        <w:t>因公出国（境）费用</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万元，费用支出较年初预算数无增减，较上年支出数无增减</w:t>
      </w:r>
      <w:r>
        <w:rPr>
          <w:rFonts w:hint="default" w:ascii="Times New Roman" w:hAnsi="Times New Roman" w:eastAsia="方正仿宋_GBK" w:cs="Times New Roman"/>
          <w:sz w:val="32"/>
          <w:szCs w:val="32"/>
          <w:shd w:val="clear" w:color="auto" w:fill="FFFFFF"/>
          <w:lang w:val="en-US" w:eastAsia="zh-CN" w:bidi="ar-SA"/>
        </w:rPr>
        <w:t>。</w:t>
      </w:r>
    </w:p>
    <w:p>
      <w:pPr>
        <w:pStyle w:val="12"/>
        <w:keepNext w:val="0"/>
        <w:keepLines w:val="0"/>
        <w:pageBreakBefore w:val="0"/>
        <w:widowControl w:val="0"/>
        <w:kinsoku/>
        <w:wordWrap/>
        <w:overflowPunct/>
        <w:topLinePunct w:val="0"/>
        <w:autoSpaceDE w:val="0"/>
        <w:autoSpaceDN/>
        <w:bidi w:val="0"/>
        <w:adjustRightInd/>
        <w:spacing w:line="560" w:lineRule="exact"/>
        <w:ind w:firstLine="640"/>
        <w:jc w:val="both"/>
        <w:textAlignment w:val="auto"/>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rPr>
        <w:t> 公务车购置费</w:t>
      </w:r>
      <w:r>
        <w:rPr>
          <w:rFonts w:hint="default" w:ascii="Times New Roman" w:hAnsi="Times New Roman" w:eastAsia="方正仿宋_GBK" w:cs="Times New Roman"/>
          <w:sz w:val="32"/>
          <w:szCs w:val="32"/>
        </w:rPr>
        <w:t>44.54</w:t>
      </w:r>
      <w:r>
        <w:rPr>
          <w:rFonts w:hint="default" w:ascii="Times New Roman" w:hAnsi="Times New Roman" w:eastAsia="方正仿宋_GBK" w:cs="Times New Roman"/>
          <w:sz w:val="32"/>
          <w:szCs w:val="32"/>
          <w:shd w:val="clear" w:color="auto" w:fill="FFFFFF"/>
        </w:rPr>
        <w:t>万元，主要用于</w:t>
      </w:r>
      <w:r>
        <w:rPr>
          <w:rFonts w:hint="default" w:ascii="Times New Roman" w:hAnsi="Times New Roman" w:eastAsia="方正仿宋_GBK" w:cs="Times New Roman"/>
          <w:sz w:val="32"/>
          <w:szCs w:val="32"/>
          <w:shd w:val="clear" w:color="auto" w:fill="FFFFFF"/>
          <w:lang w:val="en-US" w:eastAsia="zh-CN"/>
        </w:rPr>
        <w:t>应急保障用车</w:t>
      </w:r>
      <w:r>
        <w:rPr>
          <w:rFonts w:hint="default" w:ascii="Times New Roman" w:hAnsi="Times New Roman" w:eastAsia="方正仿宋_GBK" w:cs="Times New Roman"/>
          <w:sz w:val="32"/>
          <w:szCs w:val="32"/>
          <w:shd w:val="clear" w:color="auto" w:fill="FFFFFF"/>
        </w:rPr>
        <w:t>。费用支出较年初预算数减少5.46万元，下降10.92%，主要原因是</w:t>
      </w:r>
      <w:r>
        <w:rPr>
          <w:rFonts w:hint="default" w:ascii="Times New Roman" w:hAnsi="Times New Roman" w:eastAsia="方正仿宋_GBK" w:cs="Times New Roman"/>
          <w:sz w:val="32"/>
          <w:szCs w:val="32"/>
          <w:shd w:val="clear" w:color="auto" w:fill="FFFFFF"/>
          <w:lang w:val="en-US" w:eastAsia="zh-CN"/>
        </w:rPr>
        <w:t>落实过紧日子要求，压减支出。</w:t>
      </w:r>
      <w:r>
        <w:rPr>
          <w:rFonts w:hint="default" w:ascii="Times New Roman" w:hAnsi="Times New Roman" w:eastAsia="方正仿宋_GBK" w:cs="Times New Roman"/>
          <w:sz w:val="32"/>
          <w:szCs w:val="32"/>
          <w:shd w:val="clear" w:color="auto" w:fill="FFFFFF"/>
        </w:rPr>
        <w:t>较上年支出数增加44.54万元，增长100.00%，主要原因是</w:t>
      </w:r>
      <w:r>
        <w:rPr>
          <w:rFonts w:hint="default" w:ascii="Times New Roman" w:hAnsi="Times New Roman" w:eastAsia="方正仿宋_GBK" w:cs="Times New Roman"/>
          <w:sz w:val="32"/>
          <w:szCs w:val="32"/>
          <w:shd w:val="clear" w:color="auto" w:fill="FFFFFF"/>
          <w:lang w:val="en-US" w:eastAsia="zh-CN"/>
        </w:rPr>
        <w:t>上年度无公务车购置费支出。</w:t>
      </w:r>
    </w:p>
    <w:p>
      <w:pPr>
        <w:pStyle w:val="12"/>
        <w:keepNext w:val="0"/>
        <w:keepLines w:val="0"/>
        <w:pageBreakBefore w:val="0"/>
        <w:widowControl w:val="0"/>
        <w:kinsoku/>
        <w:wordWrap/>
        <w:overflowPunct/>
        <w:topLinePunct w:val="0"/>
        <w:autoSpaceDE w:val="0"/>
        <w:autoSpaceDN/>
        <w:bidi w:val="0"/>
        <w:adjustRightInd/>
        <w:spacing w:line="560" w:lineRule="exact"/>
        <w:ind w:firstLine="640"/>
        <w:jc w:val="both"/>
        <w:textAlignment w:val="auto"/>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rPr>
        <w:t> 公务车运行维护费</w:t>
      </w:r>
      <w:r>
        <w:rPr>
          <w:rFonts w:hint="default" w:ascii="Times New Roman" w:hAnsi="Times New Roman" w:eastAsia="方正仿宋_GBK" w:cs="Times New Roman"/>
          <w:sz w:val="32"/>
          <w:szCs w:val="32"/>
        </w:rPr>
        <w:t>9.38</w:t>
      </w:r>
      <w:r>
        <w:rPr>
          <w:rFonts w:hint="default" w:ascii="Times New Roman" w:hAnsi="Times New Roman" w:eastAsia="方正仿宋_GBK" w:cs="Times New Roman"/>
          <w:sz w:val="32"/>
          <w:szCs w:val="32"/>
          <w:shd w:val="clear" w:color="auto" w:fill="FFFFFF"/>
        </w:rPr>
        <w:t>万元，主要用于</w:t>
      </w:r>
      <w:r>
        <w:rPr>
          <w:rFonts w:hint="default" w:ascii="Times New Roman" w:hAnsi="Times New Roman" w:eastAsia="方正仿宋_GBK" w:cs="Times New Roman"/>
          <w:sz w:val="32"/>
          <w:szCs w:val="32"/>
          <w:shd w:val="clear" w:color="auto" w:fill="FFFFFF"/>
          <w:lang w:val="en-US" w:eastAsia="zh-CN"/>
        </w:rPr>
        <w:t>市内因公出行、重点项目检查、考察调研等工作所需车辆的燃料费、维修费、过桥过路费、保险</w:t>
      </w:r>
      <w:r>
        <w:rPr>
          <w:rFonts w:hint="default" w:ascii="Times New Roman" w:hAnsi="Times New Roman" w:eastAsia="方正仿宋_GBK" w:cs="Times New Roman"/>
          <w:sz w:val="32"/>
          <w:szCs w:val="32"/>
          <w:shd w:val="clear" w:color="auto" w:fill="FFFFFF"/>
        </w:rPr>
        <w:t>费</w:t>
      </w:r>
      <w:r>
        <w:rPr>
          <w:rFonts w:hint="default" w:ascii="Times New Roman" w:hAnsi="Times New Roman" w:eastAsia="方正仿宋_GBK" w:cs="Times New Roman"/>
          <w:sz w:val="32"/>
          <w:szCs w:val="32"/>
          <w:shd w:val="clear" w:color="auto" w:fill="FFFFFF"/>
          <w:lang w:val="en-US" w:eastAsia="zh-CN"/>
        </w:rPr>
        <w:t>等。费</w:t>
      </w:r>
      <w:r>
        <w:rPr>
          <w:rFonts w:hint="default" w:ascii="Times New Roman" w:hAnsi="Times New Roman" w:eastAsia="方正仿宋_GBK" w:cs="Times New Roman"/>
          <w:sz w:val="32"/>
          <w:szCs w:val="32"/>
          <w:shd w:val="clear" w:color="auto" w:fill="FFFFFF"/>
        </w:rPr>
        <w:t>用支出较年初预算数减少0.62万元，下降6.20%，较上年支出数减少0.58万元，下降5.82%，主要原因是</w:t>
      </w:r>
      <w:r>
        <w:rPr>
          <w:rFonts w:hint="default" w:ascii="Times New Roman" w:hAnsi="Times New Roman" w:eastAsia="方正仿宋_GBK" w:cs="Times New Roman"/>
          <w:sz w:val="32"/>
          <w:szCs w:val="32"/>
          <w:shd w:val="clear" w:color="auto" w:fill="FFFFFF"/>
          <w:lang w:val="en-US" w:eastAsia="zh-CN"/>
        </w:rPr>
        <w:t>严格落实公车使用规定，进一步加强用车管理，明晰用车范围，全年实际支出较年初预算及上年决算均有所下降。</w:t>
      </w:r>
    </w:p>
    <w:p>
      <w:pPr>
        <w:pStyle w:val="12"/>
        <w:keepNext w:val="0"/>
        <w:keepLines w:val="0"/>
        <w:pageBreakBefore w:val="0"/>
        <w:widowControl w:val="0"/>
        <w:kinsoku/>
        <w:wordWrap/>
        <w:overflowPunct/>
        <w:topLinePunct w:val="0"/>
        <w:autoSpaceDE w:val="0"/>
        <w:autoSpaceDN/>
        <w:bidi w:val="0"/>
        <w:adjustRightInd/>
        <w:spacing w:line="560" w:lineRule="exact"/>
        <w:ind w:firstLine="640"/>
        <w:jc w:val="both"/>
        <w:textAlignment w:val="auto"/>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rPr>
        <w:t> 公务接待费</w:t>
      </w:r>
      <w:r>
        <w:rPr>
          <w:rFonts w:hint="default" w:ascii="Times New Roman" w:hAnsi="Times New Roman" w:eastAsia="方正仿宋_GBK" w:cs="Times New Roman"/>
          <w:sz w:val="32"/>
          <w:szCs w:val="32"/>
        </w:rPr>
        <w:t>5.22</w:t>
      </w:r>
      <w:r>
        <w:rPr>
          <w:rFonts w:hint="default" w:ascii="Times New Roman" w:hAnsi="Times New Roman" w:eastAsia="方正仿宋_GBK" w:cs="Times New Roman"/>
          <w:sz w:val="32"/>
          <w:szCs w:val="32"/>
          <w:shd w:val="clear" w:color="auto" w:fill="FFFFFF"/>
        </w:rPr>
        <w:t>万元，主要用于接待</w:t>
      </w:r>
      <w:r>
        <w:rPr>
          <w:rFonts w:hint="default" w:ascii="Times New Roman" w:hAnsi="Times New Roman" w:eastAsia="方正仿宋_GBK" w:cs="Times New Roman"/>
          <w:sz w:val="32"/>
          <w:szCs w:val="32"/>
          <w:shd w:val="clear" w:color="auto" w:fill="FFFFFF"/>
          <w:lang w:val="en-US" w:eastAsia="zh-CN"/>
        </w:rPr>
        <w:t>上级相关部门检查指导工作，招商考察接待、项目培训专家接待等。</w:t>
      </w:r>
      <w:r>
        <w:rPr>
          <w:rFonts w:hint="default" w:ascii="Times New Roman" w:hAnsi="Times New Roman" w:eastAsia="方正仿宋_GBK" w:cs="Times New Roman"/>
          <w:sz w:val="32"/>
          <w:szCs w:val="32"/>
          <w:shd w:val="clear" w:color="auto" w:fill="FFFFFF"/>
        </w:rPr>
        <w:t>费用支出较年初预算数减少3.18万元，下降37.86%，较上年支出数减少0.32万元，下降5.78%，</w:t>
      </w:r>
      <w:r>
        <w:rPr>
          <w:rFonts w:hint="default" w:ascii="Times New Roman" w:hAnsi="Times New Roman" w:eastAsia="方正仿宋_GBK" w:cs="Times New Roman"/>
          <w:sz w:val="32"/>
          <w:szCs w:val="32"/>
          <w:shd w:val="clear" w:color="auto" w:fill="FFFFFF"/>
          <w:lang w:val="en-US" w:eastAsia="zh-CN"/>
        </w:rPr>
        <w:t>主要原因一是强化公务接待支出管理，严格遵守公务接待开支范围和开支标准；二是落实党政机关过紧日子相关举措。</w:t>
      </w:r>
    </w:p>
    <w:p>
      <w:pPr>
        <w:pStyle w:val="12"/>
        <w:keepNext w:val="0"/>
        <w:keepLines w:val="0"/>
        <w:pageBreakBefore w:val="0"/>
        <w:widowControl w:val="0"/>
        <w:kinsoku/>
        <w:wordWrap/>
        <w:overflowPunct/>
        <w:topLinePunct w:val="0"/>
        <w:autoSpaceDE w:val="0"/>
        <w:autoSpaceDN/>
        <w:bidi w:val="0"/>
        <w:adjustRightInd/>
        <w:spacing w:line="560" w:lineRule="exact"/>
        <w:ind w:firstLine="640"/>
        <w:jc w:val="both"/>
        <w:textAlignment w:val="auto"/>
        <w:rPr>
          <w:rFonts w:hint="default" w:ascii="Times New Roman" w:hAnsi="Times New Roman" w:eastAsia="方正楷体_GBK" w:cs="Times New Roman"/>
          <w:b w:val="0"/>
          <w:bCs w:val="0"/>
          <w:sz w:val="32"/>
          <w:szCs w:val="32"/>
          <w:shd w:val="clear" w:color="auto" w:fill="FFFFFF"/>
          <w:lang w:bidi="ar"/>
        </w:rPr>
      </w:pPr>
      <w:r>
        <w:rPr>
          <w:rFonts w:hint="default" w:ascii="Times New Roman" w:hAnsi="Times New Roman" w:eastAsia="方正楷体_GBK" w:cs="Times New Roman"/>
          <w:b w:val="0"/>
          <w:bCs w:val="0"/>
          <w:sz w:val="32"/>
          <w:szCs w:val="32"/>
          <w:shd w:val="clear" w:color="auto" w:fill="FFFFFF"/>
          <w:lang w:bidi="ar"/>
        </w:rPr>
        <w:t>（三）“三公”经费实物量情况</w:t>
      </w:r>
    </w:p>
    <w:p>
      <w:pPr>
        <w:pStyle w:val="7"/>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 xml:space="preserve">  2023年度本部门因公出国（境）共计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个团组，</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人；公务用车购置</w:t>
      </w:r>
      <w:r>
        <w:rPr>
          <w:rFonts w:hint="default" w:ascii="Times New Roman" w:hAnsi="Times New Roman" w:eastAsia="方正仿宋_GBK" w:cs="Times New Roman"/>
          <w:sz w:val="32"/>
          <w:szCs w:val="32"/>
        </w:rPr>
        <w:t>2</w:t>
      </w:r>
      <w:r>
        <w:rPr>
          <w:rFonts w:hint="default" w:ascii="Times New Roman" w:hAnsi="Times New Roman" w:eastAsia="方正仿宋_GBK" w:cs="Times New Roman"/>
          <w:sz w:val="32"/>
          <w:szCs w:val="32"/>
          <w:shd w:val="clear" w:color="auto" w:fill="FFFFFF"/>
        </w:rPr>
        <w:t>辆，公务车保有量为</w:t>
      </w:r>
      <w:r>
        <w:rPr>
          <w:rFonts w:hint="default" w:ascii="Times New Roman" w:hAnsi="Times New Roman" w:eastAsia="方正仿宋_GBK" w:cs="Times New Roman"/>
          <w:sz w:val="32"/>
          <w:szCs w:val="32"/>
        </w:rPr>
        <w:t>3</w:t>
      </w:r>
      <w:r>
        <w:rPr>
          <w:rFonts w:hint="default" w:ascii="Times New Roman" w:hAnsi="Times New Roman" w:eastAsia="方正仿宋_GBK" w:cs="Times New Roman"/>
          <w:sz w:val="32"/>
          <w:szCs w:val="32"/>
          <w:shd w:val="clear" w:color="auto" w:fill="FFFFFF"/>
        </w:rPr>
        <w:t>辆；国内公务接待</w:t>
      </w:r>
      <w:r>
        <w:rPr>
          <w:rFonts w:hint="default" w:ascii="Times New Roman" w:hAnsi="Times New Roman" w:eastAsia="方正仿宋_GBK" w:cs="Times New Roman"/>
          <w:sz w:val="32"/>
          <w:szCs w:val="32"/>
        </w:rPr>
        <w:t>55</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627</w:t>
      </w:r>
      <w:r>
        <w:rPr>
          <w:rFonts w:hint="default" w:ascii="Times New Roman" w:hAnsi="Times New Roman" w:eastAsia="方正仿宋_GBK" w:cs="Times New Roman"/>
          <w:sz w:val="32"/>
          <w:szCs w:val="32"/>
          <w:shd w:val="clear" w:color="auto" w:fill="FFFFFF"/>
        </w:rPr>
        <w:t>人，其中：国内外事接待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人；国（境）外公务接待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人。2023年本部门人均接待费</w:t>
      </w:r>
      <w:r>
        <w:rPr>
          <w:rFonts w:hint="default" w:ascii="Times New Roman" w:hAnsi="Times New Roman" w:eastAsia="方正仿宋_GBK" w:cs="Times New Roman"/>
          <w:sz w:val="32"/>
          <w:szCs w:val="32"/>
        </w:rPr>
        <w:t>83.33</w:t>
      </w:r>
      <w:r>
        <w:rPr>
          <w:rFonts w:hint="default" w:ascii="Times New Roman" w:hAnsi="Times New Roman" w:eastAsia="方正仿宋_GBK" w:cs="Times New Roman"/>
          <w:sz w:val="32"/>
          <w:szCs w:val="32"/>
          <w:shd w:val="clear" w:color="auto" w:fill="FFFFFF"/>
        </w:rPr>
        <w:t>元，车均购置费</w:t>
      </w:r>
      <w:r>
        <w:rPr>
          <w:rFonts w:hint="default" w:ascii="Times New Roman" w:hAnsi="Times New Roman" w:eastAsia="方正仿宋_GBK" w:cs="Times New Roman"/>
          <w:sz w:val="32"/>
          <w:szCs w:val="32"/>
        </w:rPr>
        <w:t>22.27</w:t>
      </w:r>
      <w:r>
        <w:rPr>
          <w:rFonts w:hint="default" w:ascii="Times New Roman" w:hAnsi="Times New Roman" w:eastAsia="方正仿宋_GBK" w:cs="Times New Roman"/>
          <w:sz w:val="32"/>
          <w:szCs w:val="32"/>
          <w:shd w:val="clear" w:color="auto" w:fill="FFFFFF"/>
        </w:rPr>
        <w:t>万元，车均维护费</w:t>
      </w:r>
      <w:r>
        <w:rPr>
          <w:rFonts w:hint="default" w:ascii="Times New Roman" w:hAnsi="Times New Roman" w:eastAsia="方正仿宋_GBK" w:cs="Times New Roman"/>
          <w:sz w:val="32"/>
          <w:szCs w:val="32"/>
        </w:rPr>
        <w:t>3.13</w:t>
      </w:r>
      <w:r>
        <w:rPr>
          <w:rFonts w:hint="default" w:ascii="Times New Roman" w:hAnsi="Times New Roman" w:eastAsia="方正仿宋_GBK" w:cs="Times New Roman"/>
          <w:sz w:val="32"/>
          <w:szCs w:val="32"/>
          <w:shd w:val="clear" w:color="auto" w:fill="FFFFFF"/>
        </w:rPr>
        <w:t>万元。</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Style w:val="9"/>
          <w:rFonts w:hint="default" w:ascii="Times New Roman" w:hAnsi="Times New Roman" w:eastAsia="方正黑体_GBK" w:cs="Times New Roman"/>
          <w:b w:val="0"/>
          <w:bCs/>
          <w:sz w:val="32"/>
          <w:szCs w:val="32"/>
          <w:shd w:val="clear" w:color="auto" w:fill="FFFFFF"/>
        </w:rPr>
      </w:pPr>
      <w:r>
        <w:rPr>
          <w:rStyle w:val="9"/>
          <w:rFonts w:hint="default" w:ascii="Times New Roman" w:hAnsi="Times New Roman" w:eastAsia="方正黑体_GBK" w:cs="Times New Roman"/>
          <w:b w:val="0"/>
          <w:bCs/>
          <w:sz w:val="32"/>
          <w:szCs w:val="32"/>
          <w:shd w:val="clear" w:color="auto" w:fill="FFFFFF"/>
        </w:rPr>
        <w:t>四、其他需要说明的事项</w:t>
      </w:r>
    </w:p>
    <w:p>
      <w:pPr>
        <w:pStyle w:val="12"/>
        <w:keepNext w:val="0"/>
        <w:keepLines w:val="0"/>
        <w:pageBreakBefore w:val="0"/>
        <w:widowControl w:val="0"/>
        <w:kinsoku/>
        <w:wordWrap/>
        <w:overflowPunct/>
        <w:topLinePunct w:val="0"/>
        <w:autoSpaceDE w:val="0"/>
        <w:autoSpaceDN/>
        <w:bidi w:val="0"/>
        <w:adjustRightInd/>
        <w:snapToGrid/>
        <w:spacing w:line="560" w:lineRule="exact"/>
        <w:ind w:left="0" w:leftChars="0" w:firstLine="640" w:firstLineChars="200"/>
        <w:jc w:val="both"/>
        <w:textAlignment w:val="auto"/>
        <w:rPr>
          <w:rFonts w:hint="default" w:ascii="Times New Roman" w:hAnsi="Times New Roman" w:eastAsia="方正楷体_GBK" w:cs="Times New Roman"/>
          <w:b w:val="0"/>
          <w:bCs w:val="0"/>
          <w:sz w:val="32"/>
          <w:szCs w:val="32"/>
          <w:shd w:val="clear" w:color="auto" w:fill="FFFFFF"/>
          <w:lang w:bidi="ar"/>
        </w:rPr>
      </w:pPr>
      <w:r>
        <w:rPr>
          <w:rFonts w:hint="default" w:ascii="Times New Roman" w:hAnsi="Times New Roman" w:eastAsia="方正楷体_GBK" w:cs="Times New Roman"/>
          <w:b w:val="0"/>
          <w:bCs w:val="0"/>
          <w:sz w:val="32"/>
          <w:szCs w:val="32"/>
          <w:shd w:val="clear" w:color="auto" w:fill="FFFFFF"/>
          <w:lang w:bidi="ar"/>
        </w:rPr>
        <w:t>（一）财政拨款会议费和培训费情况说明</w:t>
      </w:r>
    </w:p>
    <w:p>
      <w:pPr>
        <w:pStyle w:val="7"/>
        <w:keepNext w:val="0"/>
        <w:keepLines w:val="0"/>
        <w:pageBreakBefore w:val="0"/>
        <w:widowControl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bCs w:val="0"/>
          <w:sz w:val="32"/>
          <w:szCs w:val="32"/>
          <w:lang w:val="en-US"/>
        </w:rPr>
      </w:pPr>
      <w:r>
        <w:rPr>
          <w:rFonts w:hint="default" w:ascii="Times New Roman" w:hAnsi="Times New Roman" w:eastAsia="方正仿宋_GBK" w:cs="Times New Roman"/>
          <w:sz w:val="32"/>
          <w:szCs w:val="32"/>
          <w:shd w:val="clear" w:color="auto" w:fill="FFFFFF"/>
        </w:rPr>
        <w:t>本年度会议费支出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万元，较上年决算数减少1.20万元，下降100.00%，主要原因是</w:t>
      </w:r>
      <w:r>
        <w:rPr>
          <w:rFonts w:hint="default" w:ascii="Times New Roman" w:hAnsi="Times New Roman" w:eastAsia="方正仿宋_GBK" w:cs="Times New Roman"/>
          <w:sz w:val="32"/>
          <w:szCs w:val="32"/>
          <w:shd w:val="clear" w:color="auto" w:fill="FFFFFF"/>
          <w:lang w:val="en-US" w:eastAsia="zh-CN"/>
        </w:rPr>
        <w:t>落实党政机关过紧日子相关举措，严控会议费支出。</w:t>
      </w:r>
      <w:r>
        <w:rPr>
          <w:rFonts w:hint="default" w:ascii="Times New Roman" w:hAnsi="Times New Roman" w:eastAsia="方正仿宋_GBK" w:cs="Times New Roman"/>
          <w:sz w:val="32"/>
          <w:szCs w:val="32"/>
          <w:shd w:val="clear" w:color="auto" w:fill="FFFFFF"/>
        </w:rPr>
        <w:t>本年度培训费支出</w:t>
      </w:r>
      <w:r>
        <w:rPr>
          <w:rFonts w:hint="default" w:ascii="Times New Roman" w:hAnsi="Times New Roman" w:eastAsia="方正仿宋_GBK" w:cs="Times New Roman"/>
          <w:sz w:val="32"/>
          <w:szCs w:val="32"/>
        </w:rPr>
        <w:t>7.19</w:t>
      </w:r>
      <w:r>
        <w:rPr>
          <w:rFonts w:hint="default" w:ascii="Times New Roman" w:hAnsi="Times New Roman" w:eastAsia="方正仿宋_GBK" w:cs="Times New Roman"/>
          <w:sz w:val="32"/>
          <w:szCs w:val="32"/>
          <w:shd w:val="clear" w:color="auto" w:fill="FFFFFF"/>
        </w:rPr>
        <w:t>万元，较上年决算数减少8.51万元，下降54.20%，主要原因是</w:t>
      </w:r>
      <w:r>
        <w:rPr>
          <w:rFonts w:hint="default" w:ascii="Times New Roman" w:hAnsi="Times New Roman" w:eastAsia="方正仿宋_GBK" w:cs="Times New Roman"/>
          <w:sz w:val="32"/>
          <w:szCs w:val="32"/>
          <w:shd w:val="clear" w:color="auto" w:fill="FFFFFF"/>
          <w:lang w:val="en-US" w:eastAsia="zh-CN"/>
        </w:rPr>
        <w:t>落实党政机关过紧日子相关举措，严控培训费支出。</w:t>
      </w:r>
    </w:p>
    <w:p>
      <w:pPr>
        <w:pStyle w:val="12"/>
        <w:keepNext w:val="0"/>
        <w:keepLines w:val="0"/>
        <w:pageBreakBefore w:val="0"/>
        <w:widowControl w:val="0"/>
        <w:numPr>
          <w:ilvl w:val="0"/>
          <w:numId w:val="2"/>
        </w:numPr>
        <w:kinsoku/>
        <w:wordWrap/>
        <w:overflowPunct/>
        <w:topLinePunct w:val="0"/>
        <w:autoSpaceDE w:val="0"/>
        <w:autoSpaceDN/>
        <w:bidi w:val="0"/>
        <w:adjustRightInd/>
        <w:snapToGrid/>
        <w:spacing w:line="560" w:lineRule="exact"/>
        <w:ind w:firstLine="640"/>
        <w:jc w:val="both"/>
        <w:textAlignment w:val="auto"/>
        <w:rPr>
          <w:rFonts w:hint="default" w:ascii="Times New Roman" w:hAnsi="Times New Roman" w:eastAsia="方正楷体_GBK" w:cs="Times New Roman"/>
          <w:b w:val="0"/>
          <w:bCs w:val="0"/>
          <w:sz w:val="32"/>
          <w:szCs w:val="32"/>
          <w:shd w:val="clear" w:color="auto" w:fill="FFFFFF"/>
          <w:lang w:bidi="ar"/>
        </w:rPr>
      </w:pPr>
      <w:r>
        <w:rPr>
          <w:rFonts w:hint="default" w:ascii="Times New Roman" w:hAnsi="Times New Roman" w:eastAsia="方正楷体_GBK" w:cs="Times New Roman"/>
          <w:b w:val="0"/>
          <w:bCs w:val="0"/>
          <w:sz w:val="32"/>
          <w:szCs w:val="32"/>
          <w:shd w:val="clear" w:color="auto" w:fill="FFFFFF"/>
          <w:lang w:bidi="ar"/>
        </w:rPr>
        <w:t>机关运行经费情况说明</w:t>
      </w:r>
    </w:p>
    <w:p>
      <w:pPr>
        <w:pStyle w:val="7"/>
        <w:snapToGrid w:val="0"/>
        <w:spacing w:before="0" w:beforeAutospacing="0" w:after="0" w:afterAutospacing="0" w:line="600" w:lineRule="exact"/>
        <w:ind w:firstLine="640" w:firstLineChars="200"/>
        <w:jc w:val="both"/>
        <w:rPr>
          <w:rStyle w:val="9"/>
          <w:rFonts w:hint="default" w:ascii="Times New Roman" w:hAnsi="Times New Roman" w:eastAsia="方正仿宋_GBK" w:cs="Times New Roman"/>
          <w:sz w:val="32"/>
          <w:szCs w:val="32"/>
          <w:shd w:val="clear" w:color="auto" w:fill="FFFF00"/>
          <w:lang w:eastAsia="zh-CN"/>
        </w:rPr>
      </w:pPr>
      <w:r>
        <w:rPr>
          <w:rFonts w:hint="default" w:ascii="Times New Roman" w:hAnsi="Times New Roman" w:eastAsia="方正仿宋_GBK" w:cs="Times New Roman"/>
          <w:sz w:val="32"/>
          <w:szCs w:val="32"/>
          <w:shd w:val="clear" w:color="auto" w:fill="FFFFFF"/>
        </w:rPr>
        <w:t>2023年度本部门机关运行经费支出</w:t>
      </w:r>
      <w:r>
        <w:rPr>
          <w:rFonts w:hint="default" w:ascii="Times New Roman" w:hAnsi="Times New Roman" w:eastAsia="方正仿宋_GBK" w:cs="Times New Roman"/>
          <w:sz w:val="32"/>
          <w:szCs w:val="32"/>
        </w:rPr>
        <w:t>208.44</w:t>
      </w:r>
      <w:r>
        <w:rPr>
          <w:rFonts w:hint="default" w:ascii="Times New Roman" w:hAnsi="Times New Roman" w:eastAsia="方正仿宋_GBK" w:cs="Times New Roman"/>
          <w:sz w:val="32"/>
          <w:szCs w:val="32"/>
          <w:shd w:val="clear" w:color="auto" w:fill="FFFFFF"/>
        </w:rPr>
        <w:t>万元，机关运行经费主要用于开支</w:t>
      </w:r>
      <w:r>
        <w:rPr>
          <w:rFonts w:hint="default" w:ascii="Times New Roman" w:hAnsi="Times New Roman" w:eastAsia="方正仿宋_GBK" w:cs="Times New Roman"/>
          <w:sz w:val="32"/>
          <w:szCs w:val="32"/>
          <w:shd w:val="clear" w:color="auto" w:fill="FFFFFF"/>
          <w:lang w:val="en-US" w:eastAsia="zh-CN"/>
        </w:rPr>
        <w:t>办公费、水电费、邮电费、物业</w:t>
      </w:r>
      <w:r>
        <w:rPr>
          <w:rFonts w:hint="default" w:ascii="Times New Roman" w:hAnsi="Times New Roman" w:eastAsia="方正仿宋_GBK" w:cs="Times New Roman"/>
          <w:color w:val="000000"/>
          <w:spacing w:val="-1"/>
          <w:sz w:val="32"/>
          <w:highlight w:val="none"/>
        </w:rPr>
        <w:t>管理费、差旅费、会议费、公务接待费、</w:t>
      </w:r>
      <w:r>
        <w:rPr>
          <w:rFonts w:hint="default" w:ascii="Times New Roman" w:hAnsi="Times New Roman" w:eastAsia="方正仿宋_GBK" w:cs="Times New Roman"/>
          <w:color w:val="000000"/>
          <w:spacing w:val="-1"/>
          <w:sz w:val="32"/>
          <w:highlight w:val="none"/>
          <w:lang w:val="en-US" w:eastAsia="zh-CN"/>
        </w:rPr>
        <w:t>公务车辆购置费、</w:t>
      </w:r>
      <w:r>
        <w:rPr>
          <w:rFonts w:hint="default" w:ascii="Times New Roman" w:hAnsi="Times New Roman" w:eastAsia="方正仿宋_GBK" w:cs="Times New Roman"/>
          <w:color w:val="000000"/>
          <w:spacing w:val="-1"/>
          <w:sz w:val="32"/>
          <w:highlight w:val="none"/>
        </w:rPr>
        <w:t>公务用车运行维护费、其他交通费用等。</w:t>
      </w:r>
      <w:r>
        <w:rPr>
          <w:rFonts w:hint="default" w:ascii="Times New Roman" w:hAnsi="Times New Roman" w:eastAsia="方正仿宋_GBK" w:cs="Times New Roman"/>
          <w:sz w:val="32"/>
          <w:szCs w:val="32"/>
          <w:shd w:val="clear" w:color="auto" w:fill="FFFFFF"/>
        </w:rPr>
        <w:t>机关运行经费较上年支出数增加42.86万元，增长25.88%，主要原因是</w:t>
      </w:r>
      <w:r>
        <w:rPr>
          <w:rFonts w:hint="default" w:ascii="Times New Roman" w:hAnsi="Times New Roman" w:eastAsia="方正仿宋_GBK" w:cs="Times New Roman"/>
          <w:sz w:val="32"/>
          <w:szCs w:val="32"/>
          <w:shd w:val="clear" w:color="auto" w:fill="FFFFFF"/>
          <w:lang w:val="en-US" w:eastAsia="zh-CN"/>
        </w:rPr>
        <w:t>随着疫情常态化，办公费、差旅费等公用经费呈常态化运行，同时本年度又增加</w:t>
      </w:r>
      <w:r>
        <w:rPr>
          <w:rFonts w:hint="default" w:ascii="Times New Roman" w:hAnsi="Times New Roman" w:eastAsia="方正仿宋_GBK" w:cs="Times New Roman"/>
          <w:color w:val="000000"/>
          <w:spacing w:val="-1"/>
          <w:sz w:val="32"/>
          <w:highlight w:val="none"/>
          <w:lang w:val="en-US" w:eastAsia="zh-CN"/>
        </w:rPr>
        <w:t>公务车辆购</w:t>
      </w:r>
      <w:r>
        <w:rPr>
          <w:rFonts w:hint="default" w:ascii="Times New Roman" w:hAnsi="Times New Roman" w:eastAsia="方正仿宋_GBK" w:cs="Times New Roman"/>
          <w:sz w:val="32"/>
          <w:szCs w:val="32"/>
          <w:shd w:val="clear" w:color="auto" w:fill="FFFFFF"/>
          <w:lang w:val="en-US" w:eastAsia="zh-CN"/>
        </w:rPr>
        <w:t>置费44.54万</w:t>
      </w:r>
      <w:r>
        <w:rPr>
          <w:rFonts w:hint="default" w:ascii="Times New Roman" w:hAnsi="Times New Roman" w:eastAsia="方正仿宋_GBK" w:cs="Times New Roman"/>
          <w:color w:val="000000"/>
          <w:spacing w:val="-1"/>
          <w:sz w:val="32"/>
          <w:highlight w:val="none"/>
          <w:lang w:val="en-US" w:eastAsia="zh-CN"/>
        </w:rPr>
        <w:t>元</w:t>
      </w:r>
      <w:r>
        <w:rPr>
          <w:rFonts w:hint="default" w:ascii="Times New Roman" w:hAnsi="Times New Roman" w:eastAsia="方正仿宋_GBK" w:cs="Times New Roman"/>
          <w:sz w:val="32"/>
          <w:szCs w:val="32"/>
          <w:shd w:val="clear" w:color="auto" w:fill="FFFFFF"/>
          <w:lang w:val="en-US" w:eastAsia="zh-CN"/>
        </w:rPr>
        <w:t>。</w:t>
      </w:r>
    </w:p>
    <w:p>
      <w:pPr>
        <w:pStyle w:val="12"/>
        <w:keepNext w:val="0"/>
        <w:keepLines w:val="0"/>
        <w:pageBreakBefore w:val="0"/>
        <w:widowControl w:val="0"/>
        <w:kinsoku/>
        <w:wordWrap/>
        <w:overflowPunct/>
        <w:topLinePunct w:val="0"/>
        <w:autoSpaceDE w:val="0"/>
        <w:autoSpaceDN/>
        <w:bidi w:val="0"/>
        <w:adjustRightInd/>
        <w:spacing w:line="560" w:lineRule="exact"/>
        <w:ind w:firstLine="640"/>
        <w:jc w:val="both"/>
        <w:textAlignment w:val="auto"/>
        <w:rPr>
          <w:rFonts w:hint="default" w:ascii="Times New Roman" w:hAnsi="Times New Roman" w:eastAsia="方正楷体_GBK" w:cs="Times New Roman"/>
          <w:b w:val="0"/>
          <w:bCs w:val="0"/>
          <w:sz w:val="32"/>
          <w:szCs w:val="32"/>
          <w:shd w:val="clear" w:color="auto" w:fill="FFFFFF"/>
          <w:lang w:bidi="ar"/>
        </w:rPr>
      </w:pPr>
      <w:r>
        <w:rPr>
          <w:rFonts w:hint="default" w:ascii="Times New Roman" w:hAnsi="Times New Roman" w:eastAsia="方正楷体_GBK" w:cs="Times New Roman"/>
          <w:b w:val="0"/>
          <w:bCs w:val="0"/>
          <w:sz w:val="32"/>
          <w:szCs w:val="32"/>
          <w:shd w:val="clear" w:color="auto" w:fill="FFFFFF"/>
          <w:lang w:bidi="ar"/>
        </w:rPr>
        <w:t>（三）国有资产占用情况说明</w:t>
      </w:r>
    </w:p>
    <w:p>
      <w:pPr>
        <w:pStyle w:val="7"/>
        <w:keepNext w:val="0"/>
        <w:keepLines w:val="0"/>
        <w:pageBreakBefore w:val="0"/>
        <w:widowControl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shd w:val="clear" w:color="auto" w:fill="FFFFFF"/>
          <w:lang w:val="en-US" w:eastAsia="zh-CN" w:bidi="ar-SA"/>
        </w:rPr>
      </w:pPr>
      <w:r>
        <w:rPr>
          <w:rFonts w:hint="default" w:ascii="Times New Roman" w:hAnsi="Times New Roman" w:eastAsia="方正仿宋_GBK" w:cs="Times New Roman"/>
          <w:sz w:val="32"/>
          <w:szCs w:val="32"/>
          <w:shd w:val="clear" w:color="auto" w:fill="FFFFFF"/>
        </w:rPr>
        <w:t>  截至2023年12月31日，本部门共有车辆</w:t>
      </w:r>
      <w:r>
        <w:rPr>
          <w:rFonts w:hint="default" w:ascii="Times New Roman" w:hAnsi="Times New Roman" w:eastAsia="方正仿宋_GBK" w:cs="Times New Roman"/>
          <w:sz w:val="32"/>
          <w:szCs w:val="32"/>
        </w:rPr>
        <w:t>3</w:t>
      </w:r>
      <w:r>
        <w:rPr>
          <w:rFonts w:hint="default" w:ascii="Times New Roman" w:hAnsi="Times New Roman" w:eastAsia="方正仿宋_GBK" w:cs="Times New Roman"/>
          <w:sz w:val="32"/>
          <w:szCs w:val="32"/>
          <w:shd w:val="clear" w:color="auto" w:fill="FFFFFF"/>
        </w:rPr>
        <w:t>辆，其中，副部（省）级及以上领导用车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辆、主要负责人用车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辆、机要通信用车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辆、应急保障用车</w:t>
      </w:r>
      <w:r>
        <w:rPr>
          <w:rFonts w:hint="default" w:ascii="Times New Roman" w:hAnsi="Times New Roman" w:eastAsia="方正仿宋_GBK" w:cs="Times New Roman"/>
          <w:sz w:val="32"/>
          <w:szCs w:val="32"/>
        </w:rPr>
        <w:t>3</w:t>
      </w:r>
      <w:r>
        <w:rPr>
          <w:rFonts w:hint="default" w:ascii="Times New Roman" w:hAnsi="Times New Roman" w:eastAsia="方正仿宋_GBK" w:cs="Times New Roman"/>
          <w:sz w:val="32"/>
          <w:szCs w:val="32"/>
          <w:shd w:val="clear" w:color="auto" w:fill="FFFFFF"/>
        </w:rPr>
        <w:t>辆、执法执勤用车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辆，特种专业技术用车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辆，离退休干部用车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辆。单价100万元（含）以上专用设备</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台（套）。</w:t>
      </w:r>
    </w:p>
    <w:p>
      <w:pPr>
        <w:pStyle w:val="12"/>
        <w:keepNext w:val="0"/>
        <w:keepLines w:val="0"/>
        <w:pageBreakBefore w:val="0"/>
        <w:widowControl w:val="0"/>
        <w:kinsoku/>
        <w:wordWrap/>
        <w:overflowPunct/>
        <w:topLinePunct w:val="0"/>
        <w:autoSpaceDE w:val="0"/>
        <w:autoSpaceDN/>
        <w:bidi w:val="0"/>
        <w:adjustRightInd/>
        <w:spacing w:line="560" w:lineRule="exact"/>
        <w:ind w:firstLine="640"/>
        <w:jc w:val="both"/>
        <w:textAlignment w:val="auto"/>
        <w:rPr>
          <w:rFonts w:hint="default" w:ascii="Times New Roman" w:hAnsi="Times New Roman" w:eastAsia="方正楷体_GBK" w:cs="Times New Roman"/>
          <w:b w:val="0"/>
          <w:bCs w:val="0"/>
          <w:sz w:val="32"/>
          <w:szCs w:val="32"/>
          <w:shd w:val="clear" w:color="auto" w:fill="FFFFFF"/>
          <w:lang w:bidi="ar"/>
        </w:rPr>
      </w:pPr>
      <w:r>
        <w:rPr>
          <w:rFonts w:hint="default" w:ascii="Times New Roman" w:hAnsi="Times New Roman" w:eastAsia="方正楷体_GBK" w:cs="Times New Roman"/>
          <w:b w:val="0"/>
          <w:bCs w:val="0"/>
          <w:sz w:val="32"/>
          <w:szCs w:val="32"/>
          <w:shd w:val="clear" w:color="auto" w:fill="FFFFFF"/>
          <w:lang w:bidi="ar"/>
        </w:rPr>
        <w:t>（四）政府采购支出情况说明</w:t>
      </w:r>
    </w:p>
    <w:p>
      <w:pPr>
        <w:pStyle w:val="12"/>
        <w:keepNext w:val="0"/>
        <w:keepLines w:val="0"/>
        <w:pageBreakBefore w:val="0"/>
        <w:widowControl w:val="0"/>
        <w:kinsoku/>
        <w:wordWrap/>
        <w:overflowPunct/>
        <w:topLinePunct w:val="0"/>
        <w:autoSpaceDE w:val="0"/>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shd w:val="clear" w:color="auto" w:fill="FFFFFF"/>
          <w:lang w:val="en-US" w:eastAsia="zh-CN" w:bidi="ar-SA"/>
        </w:rPr>
      </w:pPr>
      <w:r>
        <w:rPr>
          <w:rFonts w:hint="default" w:ascii="Times New Roman" w:hAnsi="Times New Roman" w:eastAsia="方正仿宋_GBK" w:cs="Times New Roman"/>
          <w:sz w:val="32"/>
          <w:szCs w:val="32"/>
          <w:shd w:val="clear" w:color="auto" w:fill="FFFFFF"/>
        </w:rPr>
        <w:t>  2023年度本部门政府采购支出总额</w:t>
      </w:r>
      <w:r>
        <w:rPr>
          <w:rFonts w:hint="default" w:ascii="Times New Roman" w:hAnsi="Times New Roman" w:eastAsia="方正仿宋_GBK" w:cs="Times New Roman"/>
          <w:sz w:val="32"/>
          <w:szCs w:val="32"/>
        </w:rPr>
        <w:t>7.57</w:t>
      </w:r>
      <w:r>
        <w:rPr>
          <w:rFonts w:hint="default" w:ascii="Times New Roman" w:hAnsi="Times New Roman" w:eastAsia="方正仿宋_GBK" w:cs="Times New Roman"/>
          <w:sz w:val="32"/>
          <w:szCs w:val="32"/>
          <w:shd w:val="clear" w:color="auto" w:fill="FFFFFF"/>
        </w:rPr>
        <w:t>万元，其中：政府采购货物支出</w:t>
      </w:r>
      <w:r>
        <w:rPr>
          <w:rFonts w:hint="default" w:ascii="Times New Roman" w:hAnsi="Times New Roman" w:eastAsia="方正仿宋_GBK" w:cs="Times New Roman"/>
          <w:sz w:val="32"/>
          <w:szCs w:val="32"/>
        </w:rPr>
        <w:t>7.57</w:t>
      </w:r>
      <w:r>
        <w:rPr>
          <w:rFonts w:hint="default" w:ascii="Times New Roman" w:hAnsi="Times New Roman" w:eastAsia="方正仿宋_GBK" w:cs="Times New Roman"/>
          <w:sz w:val="32"/>
          <w:szCs w:val="32"/>
          <w:shd w:val="clear" w:color="auto" w:fill="FFFFFF"/>
        </w:rPr>
        <w:t>万元、政府采购工程支出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万元、政府采购服务支出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万元。授予中小企业合同金额</w:t>
      </w:r>
      <w:r>
        <w:rPr>
          <w:rFonts w:hint="default" w:ascii="Times New Roman" w:hAnsi="Times New Roman" w:eastAsia="方正仿宋_GBK" w:cs="Times New Roman"/>
          <w:sz w:val="32"/>
          <w:szCs w:val="32"/>
        </w:rPr>
        <w:t>7.57万</w:t>
      </w:r>
      <w:r>
        <w:rPr>
          <w:rFonts w:hint="default" w:ascii="Times New Roman" w:hAnsi="Times New Roman" w:eastAsia="方正仿宋_GBK" w:cs="Times New Roman"/>
          <w:sz w:val="32"/>
          <w:szCs w:val="32"/>
          <w:shd w:val="clear" w:color="auto" w:fill="FFFFFF"/>
        </w:rPr>
        <w:t>元，占政府采购支出总额的</w:t>
      </w:r>
      <w:r>
        <w:rPr>
          <w:rFonts w:hint="default" w:ascii="Times New Roman" w:hAnsi="Times New Roman" w:eastAsia="方正仿宋_GBK" w:cs="Times New Roman"/>
          <w:sz w:val="32"/>
          <w:szCs w:val="32"/>
        </w:rPr>
        <w:t>100.00</w:t>
      </w:r>
      <w:r>
        <w:rPr>
          <w:rFonts w:hint="default" w:ascii="Times New Roman" w:hAnsi="Times New Roman" w:eastAsia="方正仿宋_GBK" w:cs="Times New Roman"/>
          <w:sz w:val="32"/>
          <w:szCs w:val="32"/>
          <w:shd w:val="clear" w:color="auto" w:fill="FFFFFF"/>
        </w:rPr>
        <w:t>%，其中：授予小微企业合同金额</w:t>
      </w:r>
      <w:r>
        <w:rPr>
          <w:rFonts w:hint="default" w:ascii="Times New Roman" w:hAnsi="Times New Roman" w:eastAsia="方正仿宋_GBK" w:cs="Times New Roman"/>
          <w:sz w:val="32"/>
          <w:szCs w:val="32"/>
        </w:rPr>
        <w:t>7.57</w:t>
      </w:r>
      <w:r>
        <w:rPr>
          <w:rFonts w:hint="default" w:ascii="Times New Roman" w:hAnsi="Times New Roman" w:eastAsia="方正仿宋_GBK" w:cs="Times New Roman"/>
          <w:sz w:val="32"/>
          <w:szCs w:val="32"/>
          <w:shd w:val="clear" w:color="auto" w:fill="FFFFFF"/>
        </w:rPr>
        <w:t>万元，占政府采购支出总额的</w:t>
      </w:r>
      <w:r>
        <w:rPr>
          <w:rFonts w:hint="default" w:ascii="Times New Roman" w:hAnsi="Times New Roman" w:eastAsia="方正仿宋_GBK" w:cs="Times New Roman"/>
          <w:sz w:val="32"/>
          <w:szCs w:val="32"/>
        </w:rPr>
        <w:t>100.00</w:t>
      </w:r>
      <w:r>
        <w:rPr>
          <w:rFonts w:hint="default" w:ascii="Times New Roman" w:hAnsi="Times New Roman" w:eastAsia="方正仿宋_GBK" w:cs="Times New Roman"/>
          <w:sz w:val="32"/>
          <w:szCs w:val="32"/>
          <w:shd w:val="clear" w:color="auto" w:fill="FFFFFF"/>
        </w:rPr>
        <w:t xml:space="preserve"> %。主要用于采购</w:t>
      </w:r>
      <w:r>
        <w:rPr>
          <w:rFonts w:hint="default" w:ascii="Times New Roman" w:hAnsi="Times New Roman" w:eastAsia="方正仿宋_GBK" w:cs="Times New Roman"/>
          <w:sz w:val="32"/>
          <w:szCs w:val="32"/>
          <w:shd w:val="clear" w:color="auto" w:fill="FFFFFF"/>
          <w:lang w:val="en-US" w:eastAsia="zh-CN"/>
        </w:rPr>
        <w:t>一般办公设备。</w:t>
      </w:r>
    </w:p>
    <w:p>
      <w:pPr>
        <w:pStyle w:val="12"/>
        <w:keepNext w:val="0"/>
        <w:keepLines w:val="0"/>
        <w:pageBreakBefore w:val="0"/>
        <w:widowControl w:val="0"/>
        <w:numPr>
          <w:ilvl w:val="0"/>
          <w:numId w:val="3"/>
        </w:numPr>
        <w:kinsoku/>
        <w:wordWrap/>
        <w:overflowPunct/>
        <w:topLinePunct w:val="0"/>
        <w:autoSpaceDE w:val="0"/>
        <w:autoSpaceDN/>
        <w:bidi w:val="0"/>
        <w:adjustRightInd/>
        <w:snapToGrid/>
        <w:spacing w:line="560" w:lineRule="exact"/>
        <w:ind w:firstLine="640" w:firstLineChars="200"/>
        <w:jc w:val="both"/>
        <w:textAlignment w:val="auto"/>
        <w:rPr>
          <w:rStyle w:val="9"/>
          <w:rFonts w:hint="default" w:ascii="Times New Roman" w:hAnsi="Times New Roman" w:eastAsia="方正黑体_GBK" w:cs="Times New Roman"/>
          <w:b w:val="0"/>
          <w:bCs/>
          <w:sz w:val="32"/>
          <w:szCs w:val="32"/>
          <w:shd w:val="clear" w:color="auto" w:fill="FFFFFF"/>
        </w:rPr>
      </w:pPr>
      <w:r>
        <w:rPr>
          <w:rStyle w:val="9"/>
          <w:rFonts w:hint="default" w:ascii="Times New Roman" w:hAnsi="Times New Roman" w:eastAsia="方正黑体_GBK" w:cs="Times New Roman"/>
          <w:b w:val="0"/>
          <w:bCs/>
          <w:sz w:val="32"/>
          <w:szCs w:val="32"/>
          <w:shd w:val="clear" w:color="auto" w:fill="FFFFFF"/>
        </w:rPr>
        <w:t>预算绩效管理情况说明</w:t>
      </w:r>
    </w:p>
    <w:p>
      <w:pPr>
        <w:pStyle w:val="12"/>
        <w:keepNext w:val="0"/>
        <w:keepLines w:val="0"/>
        <w:pageBreakBefore w:val="0"/>
        <w:widowControl w:val="0"/>
        <w:kinsoku/>
        <w:wordWrap/>
        <w:overflowPunct/>
        <w:topLinePunct w:val="0"/>
        <w:autoSpaceDE w:val="0"/>
        <w:autoSpaceDN/>
        <w:bidi w:val="0"/>
        <w:adjustRightInd/>
        <w:snapToGrid/>
        <w:spacing w:line="560" w:lineRule="exact"/>
        <w:ind w:firstLine="640"/>
        <w:jc w:val="both"/>
        <w:textAlignment w:val="auto"/>
        <w:rPr>
          <w:rFonts w:hint="default" w:ascii="Times New Roman" w:hAnsi="Times New Roman" w:eastAsia="方正楷体_GBK" w:cs="Times New Roman"/>
          <w:b w:val="0"/>
          <w:bCs w:val="0"/>
          <w:sz w:val="32"/>
          <w:szCs w:val="32"/>
          <w:shd w:val="clear" w:color="auto" w:fill="FFFFFF"/>
          <w:lang w:bidi="ar"/>
        </w:rPr>
      </w:pPr>
      <w:r>
        <w:rPr>
          <w:rFonts w:hint="default" w:ascii="Times New Roman" w:hAnsi="Times New Roman" w:eastAsia="方正楷体_GBK" w:cs="Times New Roman"/>
          <w:b w:val="0"/>
          <w:bCs w:val="0"/>
          <w:sz w:val="32"/>
          <w:szCs w:val="32"/>
          <w:shd w:val="clear" w:color="auto" w:fill="FFFFFF"/>
          <w:lang w:bidi="ar"/>
        </w:rPr>
        <w:t>（一）</w:t>
      </w:r>
      <w:r>
        <w:rPr>
          <w:rFonts w:hint="eastAsia" w:ascii="Times New Roman" w:hAnsi="Times New Roman" w:eastAsia="方正楷体_GBK" w:cs="Times New Roman"/>
          <w:b w:val="0"/>
          <w:bCs w:val="0"/>
          <w:sz w:val="32"/>
          <w:szCs w:val="32"/>
          <w:shd w:val="clear" w:color="auto" w:fill="FFFFFF"/>
          <w:lang w:eastAsia="zh-CN" w:bidi="ar"/>
        </w:rPr>
        <w:t>部门</w:t>
      </w:r>
      <w:r>
        <w:rPr>
          <w:rFonts w:hint="default" w:ascii="Times New Roman" w:hAnsi="Times New Roman" w:eastAsia="方正楷体_GBK" w:cs="Times New Roman"/>
          <w:b w:val="0"/>
          <w:bCs w:val="0"/>
          <w:sz w:val="32"/>
          <w:szCs w:val="32"/>
          <w:shd w:val="clear" w:color="auto" w:fill="FFFFFF"/>
          <w:lang w:bidi="ar"/>
        </w:rPr>
        <w:t>自评情况</w:t>
      </w:r>
    </w:p>
    <w:p>
      <w:pPr>
        <w:pStyle w:val="12"/>
        <w:keepNext w:val="0"/>
        <w:keepLines w:val="0"/>
        <w:pageBreakBefore w:val="0"/>
        <w:widowControl w:val="0"/>
        <w:kinsoku/>
        <w:wordWrap/>
        <w:overflowPunct/>
        <w:topLinePunct w:val="0"/>
        <w:autoSpaceDE w:val="0"/>
        <w:autoSpaceDN/>
        <w:bidi w:val="0"/>
        <w:adjustRightInd/>
        <w:snapToGrid/>
        <w:spacing w:line="560" w:lineRule="exact"/>
        <w:ind w:firstLine="640"/>
        <w:jc w:val="both"/>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kern w:val="0"/>
          <w:sz w:val="32"/>
          <w:szCs w:val="32"/>
          <w:lang w:val="en-US" w:eastAsia="zh-CN" w:bidi="ar-SA"/>
        </w:rPr>
        <w:t>根据预算绩效管理要求，对本部门1个部门整体和23个二级项目开展了绩效自评，其中，以填报绩效自评表形式开展自评24项，</w:t>
      </w:r>
      <w:r>
        <w:rPr>
          <w:rFonts w:hint="default" w:ascii="Times New Roman" w:hAnsi="Times New Roman" w:eastAsia="方正仿宋_GBK" w:cs="Times New Roman"/>
          <w:sz w:val="32"/>
          <w:szCs w:val="32"/>
          <w:shd w:val="clear" w:color="auto" w:fill="FFFFFF"/>
        </w:rPr>
        <w:t>涉及财政拨款项目支出资金</w:t>
      </w:r>
      <w:r>
        <w:rPr>
          <w:rFonts w:hint="default" w:ascii="Times New Roman" w:hAnsi="Times New Roman" w:eastAsia="方正仿宋_GBK" w:cs="Times New Roman"/>
          <w:sz w:val="32"/>
          <w:szCs w:val="32"/>
          <w:lang w:val="en-US" w:eastAsia="zh-CN"/>
        </w:rPr>
        <w:t>911.06</w:t>
      </w:r>
      <w:r>
        <w:rPr>
          <w:rFonts w:hint="default" w:ascii="Times New Roman" w:hAnsi="Times New Roman" w:eastAsia="方正仿宋_GBK" w:cs="Times New Roman"/>
          <w:kern w:val="0"/>
          <w:sz w:val="32"/>
          <w:szCs w:val="32"/>
          <w:lang w:val="en-US" w:eastAsia="zh-CN" w:bidi="ar-SA"/>
        </w:rPr>
        <w:t>万元。从评价情况看，大部分项目达到了年初制定的绩效目标。</w:t>
      </w:r>
    </w:p>
    <w:p>
      <w:pPr>
        <w:pStyle w:val="12"/>
        <w:keepNext w:val="0"/>
        <w:keepLines w:val="0"/>
        <w:pageBreakBefore w:val="0"/>
        <w:widowControl w:val="0"/>
        <w:kinsoku/>
        <w:wordWrap/>
        <w:overflowPunct/>
        <w:topLinePunct w:val="0"/>
        <w:autoSpaceDE w:val="0"/>
        <w:autoSpaceDN/>
        <w:bidi w:val="0"/>
        <w:adjustRightInd/>
        <w:snapToGrid/>
        <w:spacing w:line="560" w:lineRule="exact"/>
        <w:ind w:firstLine="640"/>
        <w:textAlignment w:val="auto"/>
        <w:rPr>
          <w:rFonts w:hint="default" w:ascii="Times New Roman" w:hAnsi="Times New Roman" w:eastAsia="方正仿宋_GBK" w:cs="Times New Roman"/>
          <w:kern w:val="0"/>
          <w:sz w:val="32"/>
          <w:szCs w:val="32"/>
          <w:lang w:val="en-US" w:eastAsia="zh-CN" w:bidi="ar-SA"/>
        </w:rPr>
      </w:pPr>
    </w:p>
    <w:tbl>
      <w:tblPr>
        <w:tblStyle w:val="10"/>
        <w:tblW w:w="8843" w:type="dxa"/>
        <w:tblInd w:w="0" w:type="dxa"/>
        <w:tblLayout w:type="fixed"/>
        <w:tblCellMar>
          <w:top w:w="0" w:type="dxa"/>
          <w:left w:w="108" w:type="dxa"/>
          <w:bottom w:w="0" w:type="dxa"/>
          <w:right w:w="108" w:type="dxa"/>
        </w:tblCellMar>
      </w:tblPr>
      <w:tblGrid>
        <w:gridCol w:w="870"/>
        <w:gridCol w:w="1281"/>
        <w:gridCol w:w="1010"/>
        <w:gridCol w:w="600"/>
        <w:gridCol w:w="707"/>
        <w:gridCol w:w="1020"/>
        <w:gridCol w:w="828"/>
        <w:gridCol w:w="1030"/>
        <w:gridCol w:w="977"/>
        <w:gridCol w:w="520"/>
      </w:tblGrid>
      <w:tr>
        <w:tblPrEx>
          <w:tblLayout w:type="fixed"/>
          <w:tblCellMar>
            <w:top w:w="0" w:type="dxa"/>
            <w:left w:w="108" w:type="dxa"/>
            <w:bottom w:w="0" w:type="dxa"/>
            <w:right w:w="108" w:type="dxa"/>
          </w:tblCellMar>
        </w:tblPrEx>
        <w:trPr>
          <w:trHeight w:val="552" w:hRule="atLeast"/>
        </w:trPr>
        <w:tc>
          <w:tcPr>
            <w:tcW w:w="8843" w:type="dxa"/>
            <w:gridSpan w:val="10"/>
            <w:tcBorders>
              <w:top w:val="nil"/>
              <w:left w:val="nil"/>
              <w:bottom w:val="nil"/>
              <w:right w:val="nil"/>
            </w:tcBorders>
            <w:vAlign w:val="center"/>
          </w:tcPr>
          <w:p>
            <w:pPr>
              <w:pStyle w:val="2"/>
              <w:keepNext w:val="0"/>
              <w:keepLines w:val="0"/>
              <w:pageBreakBefore w:val="0"/>
              <w:kinsoku/>
              <w:wordWrap/>
              <w:overflowPunct/>
              <w:topLinePunct w:val="0"/>
              <w:bidi w:val="0"/>
              <w:adjustRightInd/>
              <w:snapToGrid/>
              <w:spacing w:line="560" w:lineRule="exact"/>
              <w:ind w:firstLine="720" w:firstLineChars="200"/>
              <w:jc w:val="center"/>
              <w:outlineLvl w:val="9"/>
              <w:rPr>
                <w:rFonts w:hint="default" w:ascii="Times New Roman" w:hAnsi="Times New Roman" w:eastAsia="方正小标宋_GBK" w:cs="Times New Roman"/>
                <w:color w:val="000000"/>
                <w:kern w:val="0"/>
                <w:sz w:val="36"/>
                <w:szCs w:val="36"/>
                <w:lang w:val="en-US" w:eastAsia="zh-CN" w:bidi="ar"/>
              </w:rPr>
            </w:pPr>
            <w:r>
              <w:rPr>
                <w:rFonts w:hint="default" w:ascii="Times New Roman" w:hAnsi="Times New Roman" w:eastAsia="方正小标宋_GBK" w:cs="Times New Roman"/>
                <w:color w:val="000000"/>
                <w:kern w:val="0"/>
                <w:sz w:val="36"/>
                <w:szCs w:val="36"/>
                <w:lang w:val="en-US" w:eastAsia="zh-CN" w:bidi="ar"/>
              </w:rPr>
              <w:t>秀山土家族苗族自治县发展和改革委员会</w:t>
            </w:r>
          </w:p>
          <w:p>
            <w:pPr>
              <w:pStyle w:val="2"/>
              <w:keepNext w:val="0"/>
              <w:keepLines w:val="0"/>
              <w:pageBreakBefore w:val="0"/>
              <w:kinsoku/>
              <w:wordWrap/>
              <w:overflowPunct/>
              <w:topLinePunct w:val="0"/>
              <w:bidi w:val="0"/>
              <w:adjustRightInd/>
              <w:snapToGrid/>
              <w:spacing w:line="560" w:lineRule="exact"/>
              <w:ind w:firstLine="720" w:firstLineChars="200"/>
              <w:jc w:val="center"/>
              <w:outlineLvl w:val="9"/>
              <w:rPr>
                <w:rFonts w:hint="default" w:ascii="Times New Roman" w:hAnsi="Times New Roman" w:eastAsia="方正小标宋_GBK" w:cs="Times New Roman"/>
                <w:color w:val="000000"/>
                <w:sz w:val="36"/>
                <w:szCs w:val="36"/>
                <w:lang w:eastAsia="zh-CN"/>
              </w:rPr>
            </w:pPr>
            <w:r>
              <w:rPr>
                <w:rFonts w:hint="default" w:ascii="Times New Roman" w:hAnsi="Times New Roman" w:eastAsia="方正小标宋_GBK" w:cs="Times New Roman"/>
                <w:color w:val="000000"/>
                <w:kern w:val="0"/>
                <w:sz w:val="36"/>
                <w:szCs w:val="36"/>
                <w:lang w:val="en-US" w:eastAsia="zh-CN" w:bidi="ar"/>
              </w:rPr>
              <w:t>2023</w:t>
            </w:r>
            <w:r>
              <w:rPr>
                <w:rFonts w:hint="default" w:ascii="Times New Roman" w:hAnsi="Times New Roman" w:eastAsia="方正小标宋_GBK" w:cs="Times New Roman"/>
                <w:color w:val="000000"/>
                <w:kern w:val="0"/>
                <w:sz w:val="36"/>
                <w:szCs w:val="36"/>
              </w:rPr>
              <w:t>年度部门整体绩效自评表</w:t>
            </w:r>
          </w:p>
        </w:tc>
      </w:tr>
      <w:tr>
        <w:tblPrEx>
          <w:tblLayout w:type="fixed"/>
          <w:tblCellMar>
            <w:top w:w="0" w:type="dxa"/>
            <w:left w:w="108" w:type="dxa"/>
            <w:bottom w:w="0" w:type="dxa"/>
            <w:right w:w="108" w:type="dxa"/>
          </w:tblCellMar>
        </w:tblPrEx>
        <w:trPr>
          <w:trHeight w:val="600" w:hRule="atLeast"/>
        </w:trPr>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主管部门</w:t>
            </w:r>
          </w:p>
        </w:tc>
        <w:tc>
          <w:tcPr>
            <w:tcW w:w="128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outlineLvl w:val="9"/>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秀山土家族苗族自治县发展和改革委员会</w:t>
            </w:r>
          </w:p>
        </w:tc>
        <w:tc>
          <w:tcPr>
            <w:tcW w:w="10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部门</w:t>
            </w:r>
            <w:r>
              <w:rPr>
                <w:rFonts w:hint="default" w:ascii="Times New Roman" w:hAnsi="Times New Roman" w:eastAsia="方正仿宋_GBK" w:cs="Times New Roman"/>
                <w:color w:val="000000"/>
                <w:kern w:val="0"/>
                <w:sz w:val="18"/>
                <w:szCs w:val="18"/>
                <w:lang w:bidi="ar"/>
              </w:rPr>
              <w:br w:type="textWrapping"/>
            </w:r>
            <w:r>
              <w:rPr>
                <w:rFonts w:hint="default" w:ascii="Times New Roman" w:hAnsi="Times New Roman" w:eastAsia="方正仿宋_GBK" w:cs="Times New Roman"/>
                <w:color w:val="000000"/>
                <w:kern w:val="0"/>
                <w:sz w:val="18"/>
                <w:szCs w:val="18"/>
                <w:lang w:bidi="ar"/>
              </w:rPr>
              <w:t>联系人</w:t>
            </w:r>
          </w:p>
        </w:tc>
        <w:tc>
          <w:tcPr>
            <w:tcW w:w="130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outlineLvl w:val="9"/>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刘先毅</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联系电话</w:t>
            </w:r>
          </w:p>
        </w:tc>
        <w:tc>
          <w:tcPr>
            <w:tcW w:w="185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outlineLvl w:val="9"/>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lang w:val="en-US" w:eastAsia="zh-CN"/>
              </w:rPr>
              <w:t>023-</w:t>
            </w:r>
            <w:r>
              <w:rPr>
                <w:rFonts w:hint="default" w:ascii="Times New Roman" w:hAnsi="Times New Roman" w:eastAsia="方正仿宋_GBK" w:cs="Times New Roman"/>
                <w:color w:val="000000"/>
                <w:sz w:val="18"/>
                <w:szCs w:val="18"/>
              </w:rPr>
              <w:t>76666019</w:t>
            </w:r>
          </w:p>
        </w:tc>
        <w:tc>
          <w:tcPr>
            <w:tcW w:w="9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自评总分</w:t>
            </w:r>
            <w:r>
              <w:rPr>
                <w:rFonts w:hint="default" w:ascii="Times New Roman" w:hAnsi="Times New Roman" w:eastAsia="方正仿宋_GBK" w:cs="Times New Roman"/>
                <w:color w:val="000000"/>
                <w:kern w:val="0"/>
                <w:sz w:val="18"/>
                <w:szCs w:val="18"/>
                <w:lang w:bidi="ar"/>
              </w:rPr>
              <w:br w:type="textWrapping"/>
            </w:r>
            <w:r>
              <w:rPr>
                <w:rFonts w:hint="default" w:ascii="Times New Roman" w:hAnsi="Times New Roman" w:eastAsia="方正仿宋_GBK" w:cs="Times New Roman"/>
                <w:color w:val="000000"/>
                <w:kern w:val="0"/>
                <w:sz w:val="18"/>
                <w:szCs w:val="18"/>
                <w:lang w:bidi="ar"/>
              </w:rPr>
              <w:t>（分）</w:t>
            </w:r>
          </w:p>
        </w:tc>
        <w:tc>
          <w:tcPr>
            <w:tcW w:w="5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outlineLvl w:val="9"/>
              <w:rPr>
                <w:rFonts w:hint="default" w:ascii="Times New Roman" w:hAnsi="Times New Roman" w:eastAsia="方正仿宋_GBK" w:cs="Times New Roman"/>
                <w:color w:val="000000"/>
                <w:sz w:val="18"/>
                <w:szCs w:val="18"/>
                <w:lang w:val="en-US" w:eastAsia="zh-CN"/>
              </w:rPr>
            </w:pPr>
            <w:r>
              <w:rPr>
                <w:rFonts w:hint="default" w:ascii="Times New Roman" w:hAnsi="Times New Roman" w:eastAsia="方正仿宋_GBK" w:cs="Times New Roman"/>
                <w:color w:val="000000"/>
                <w:sz w:val="18"/>
                <w:szCs w:val="18"/>
                <w:lang w:val="en-US" w:eastAsia="zh-CN"/>
              </w:rPr>
              <w:t>99.27</w:t>
            </w:r>
          </w:p>
        </w:tc>
      </w:tr>
      <w:tr>
        <w:tblPrEx>
          <w:tblLayout w:type="fixed"/>
          <w:tblCellMar>
            <w:top w:w="0" w:type="dxa"/>
            <w:left w:w="108" w:type="dxa"/>
            <w:bottom w:w="0" w:type="dxa"/>
            <w:right w:w="108" w:type="dxa"/>
          </w:tblCellMar>
        </w:tblPrEx>
        <w:trPr>
          <w:trHeight w:val="600" w:hRule="atLeast"/>
        </w:trPr>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方正仿宋_GBK" w:cs="Times New Roman"/>
                <w:color w:val="000000"/>
                <w:kern w:val="0"/>
                <w:sz w:val="18"/>
                <w:szCs w:val="18"/>
                <w:lang w:bidi="ar"/>
              </w:rPr>
            </w:pPr>
          </w:p>
        </w:tc>
        <w:tc>
          <w:tcPr>
            <w:tcW w:w="128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outlineLvl w:val="9"/>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年初预算数</w:t>
            </w:r>
          </w:p>
        </w:tc>
        <w:tc>
          <w:tcPr>
            <w:tcW w:w="10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方正仿宋_GBK" w:cs="Times New Roman"/>
                <w:color w:val="000000"/>
                <w:kern w:val="0"/>
                <w:sz w:val="18"/>
                <w:szCs w:val="18"/>
                <w:lang w:bidi="ar"/>
              </w:rPr>
            </w:pPr>
            <w:r>
              <w:rPr>
                <w:rFonts w:hint="default" w:ascii="Times New Roman" w:hAnsi="Times New Roman" w:eastAsia="方正仿宋_GBK" w:cs="Times New Roman"/>
                <w:color w:val="000000"/>
                <w:kern w:val="0"/>
                <w:sz w:val="18"/>
                <w:szCs w:val="18"/>
                <w:lang w:bidi="ar"/>
              </w:rPr>
              <w:t>全年（调整）预算数</w:t>
            </w:r>
          </w:p>
        </w:tc>
        <w:tc>
          <w:tcPr>
            <w:tcW w:w="130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outlineLvl w:val="9"/>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全年执行数</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方正仿宋_GBK" w:cs="Times New Roman"/>
                <w:color w:val="000000"/>
                <w:kern w:val="0"/>
                <w:sz w:val="18"/>
                <w:szCs w:val="18"/>
                <w:lang w:bidi="ar"/>
              </w:rPr>
            </w:pPr>
            <w:r>
              <w:rPr>
                <w:rFonts w:hint="default" w:ascii="Times New Roman" w:hAnsi="Times New Roman" w:eastAsia="方正仿宋_GBK" w:cs="Times New Roman"/>
                <w:color w:val="000000"/>
                <w:kern w:val="0"/>
                <w:sz w:val="18"/>
                <w:szCs w:val="18"/>
                <w:lang w:bidi="ar"/>
              </w:rPr>
              <w:t>执行率</w:t>
            </w:r>
          </w:p>
        </w:tc>
        <w:tc>
          <w:tcPr>
            <w:tcW w:w="185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outlineLvl w:val="9"/>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执行率权重</w:t>
            </w:r>
          </w:p>
        </w:tc>
        <w:tc>
          <w:tcPr>
            <w:tcW w:w="149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outlineLvl w:val="9"/>
              <w:rPr>
                <w:rFonts w:hint="default" w:ascii="Times New Roman" w:hAnsi="Times New Roman" w:eastAsia="方正仿宋_GBK" w:cs="Times New Roman"/>
                <w:color w:val="000000"/>
                <w:sz w:val="18"/>
                <w:szCs w:val="18"/>
                <w:lang w:val="en-US" w:eastAsia="zh-CN"/>
              </w:rPr>
            </w:pPr>
            <w:r>
              <w:rPr>
                <w:rFonts w:hint="default" w:ascii="Times New Roman" w:hAnsi="Times New Roman" w:eastAsia="方正仿宋_GBK" w:cs="Times New Roman"/>
                <w:color w:val="000000"/>
                <w:kern w:val="0"/>
                <w:sz w:val="18"/>
                <w:szCs w:val="18"/>
                <w:lang w:bidi="ar"/>
              </w:rPr>
              <w:t>执行率得分</w:t>
            </w:r>
          </w:p>
        </w:tc>
      </w:tr>
      <w:tr>
        <w:tblPrEx>
          <w:tblLayout w:type="fixed"/>
          <w:tblCellMar>
            <w:top w:w="0" w:type="dxa"/>
            <w:left w:w="108" w:type="dxa"/>
            <w:bottom w:w="0" w:type="dxa"/>
            <w:right w:w="108" w:type="dxa"/>
          </w:tblCellMar>
        </w:tblPrEx>
        <w:trPr>
          <w:trHeight w:val="600" w:hRule="atLeast"/>
        </w:trPr>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方正仿宋_GBK" w:cs="Times New Roman"/>
                <w:color w:val="000000"/>
                <w:kern w:val="0"/>
                <w:sz w:val="18"/>
                <w:szCs w:val="18"/>
                <w:lang w:bidi="ar"/>
              </w:rPr>
            </w:pPr>
            <w:r>
              <w:rPr>
                <w:rFonts w:hint="default" w:ascii="Times New Roman" w:hAnsi="Times New Roman" w:eastAsia="方正仿宋_GBK" w:cs="Times New Roman"/>
                <w:color w:val="000000"/>
                <w:kern w:val="0"/>
                <w:sz w:val="18"/>
                <w:szCs w:val="18"/>
                <w:lang w:bidi="ar"/>
              </w:rPr>
              <w:t>年度总金额</w:t>
            </w:r>
          </w:p>
        </w:tc>
        <w:tc>
          <w:tcPr>
            <w:tcW w:w="128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outlineLvl w:val="9"/>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4501.35</w:t>
            </w:r>
          </w:p>
        </w:tc>
        <w:tc>
          <w:tcPr>
            <w:tcW w:w="10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方正仿宋_GBK" w:cs="Times New Roman"/>
                <w:color w:val="000000"/>
                <w:kern w:val="0"/>
                <w:sz w:val="18"/>
                <w:szCs w:val="18"/>
                <w:lang w:bidi="ar"/>
              </w:rPr>
            </w:pPr>
            <w:r>
              <w:rPr>
                <w:rFonts w:hint="default" w:ascii="Times New Roman" w:hAnsi="Times New Roman" w:eastAsia="方正仿宋_GBK" w:cs="Times New Roman"/>
                <w:color w:val="000000"/>
                <w:kern w:val="0"/>
                <w:sz w:val="18"/>
                <w:szCs w:val="18"/>
                <w:lang w:bidi="ar"/>
              </w:rPr>
              <w:t>2418.04</w:t>
            </w:r>
          </w:p>
        </w:tc>
        <w:tc>
          <w:tcPr>
            <w:tcW w:w="130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outlineLvl w:val="9"/>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2243.46</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方正仿宋_GBK" w:cs="Times New Roman"/>
                <w:color w:val="000000"/>
                <w:kern w:val="0"/>
                <w:sz w:val="18"/>
                <w:szCs w:val="18"/>
                <w:lang w:bidi="ar"/>
              </w:rPr>
            </w:pPr>
            <w:r>
              <w:rPr>
                <w:rFonts w:hint="default" w:ascii="Times New Roman" w:hAnsi="Times New Roman" w:eastAsia="方正仿宋_GBK" w:cs="Times New Roman"/>
                <w:color w:val="000000"/>
                <w:kern w:val="0"/>
                <w:sz w:val="18"/>
                <w:szCs w:val="18"/>
                <w:lang w:bidi="ar"/>
              </w:rPr>
              <w:t>92.78</w:t>
            </w:r>
          </w:p>
        </w:tc>
        <w:tc>
          <w:tcPr>
            <w:tcW w:w="185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outlineLvl w:val="9"/>
              <w:rPr>
                <w:rFonts w:hint="default" w:ascii="Times New Roman" w:hAnsi="Times New Roman" w:eastAsia="方正仿宋_GBK" w:cs="Times New Roman"/>
                <w:color w:val="000000"/>
                <w:sz w:val="18"/>
                <w:szCs w:val="18"/>
              </w:rPr>
            </w:pPr>
          </w:p>
        </w:tc>
        <w:tc>
          <w:tcPr>
            <w:tcW w:w="149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outlineLvl w:val="9"/>
              <w:rPr>
                <w:rFonts w:hint="default" w:ascii="Times New Roman" w:hAnsi="Times New Roman" w:eastAsia="方正仿宋_GBK" w:cs="Times New Roman"/>
                <w:color w:val="000000"/>
                <w:sz w:val="18"/>
                <w:szCs w:val="18"/>
                <w:lang w:val="en-US" w:eastAsia="zh-CN"/>
              </w:rPr>
            </w:pPr>
          </w:p>
        </w:tc>
      </w:tr>
      <w:tr>
        <w:tblPrEx>
          <w:tblLayout w:type="fixed"/>
          <w:tblCellMar>
            <w:top w:w="0" w:type="dxa"/>
            <w:left w:w="108" w:type="dxa"/>
            <w:bottom w:w="0" w:type="dxa"/>
            <w:right w:w="108" w:type="dxa"/>
          </w:tblCellMar>
        </w:tblPrEx>
        <w:trPr>
          <w:trHeight w:val="600" w:hRule="atLeast"/>
        </w:trPr>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方正仿宋_GBK" w:cs="Times New Roman"/>
                <w:color w:val="000000"/>
                <w:kern w:val="0"/>
                <w:sz w:val="18"/>
                <w:szCs w:val="18"/>
                <w:lang w:bidi="ar"/>
              </w:rPr>
            </w:pPr>
            <w:r>
              <w:rPr>
                <w:rFonts w:hint="default" w:ascii="Times New Roman" w:hAnsi="Times New Roman" w:eastAsia="方正仿宋_GBK" w:cs="Times New Roman"/>
                <w:color w:val="000000"/>
                <w:kern w:val="0"/>
                <w:sz w:val="18"/>
                <w:szCs w:val="18"/>
                <w:lang w:bidi="ar"/>
              </w:rPr>
              <w:t>其中：财政拨款</w:t>
            </w:r>
          </w:p>
        </w:tc>
        <w:tc>
          <w:tcPr>
            <w:tcW w:w="128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outlineLvl w:val="9"/>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4501.35</w:t>
            </w:r>
          </w:p>
        </w:tc>
        <w:tc>
          <w:tcPr>
            <w:tcW w:w="10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方正仿宋_GBK" w:cs="Times New Roman"/>
                <w:color w:val="000000"/>
                <w:kern w:val="0"/>
                <w:sz w:val="18"/>
                <w:szCs w:val="18"/>
                <w:lang w:bidi="ar"/>
              </w:rPr>
            </w:pPr>
            <w:r>
              <w:rPr>
                <w:rFonts w:hint="default" w:ascii="Times New Roman" w:hAnsi="Times New Roman" w:eastAsia="方正仿宋_GBK" w:cs="Times New Roman"/>
                <w:color w:val="000000"/>
                <w:kern w:val="0"/>
                <w:sz w:val="18"/>
                <w:szCs w:val="18"/>
                <w:lang w:bidi="ar"/>
              </w:rPr>
              <w:t>2418.04</w:t>
            </w:r>
          </w:p>
        </w:tc>
        <w:tc>
          <w:tcPr>
            <w:tcW w:w="130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outlineLvl w:val="9"/>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2243.46</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方正仿宋_GBK" w:cs="Times New Roman"/>
                <w:color w:val="000000"/>
                <w:kern w:val="0"/>
                <w:sz w:val="18"/>
                <w:szCs w:val="18"/>
                <w:lang w:bidi="ar"/>
              </w:rPr>
            </w:pPr>
            <w:r>
              <w:rPr>
                <w:rFonts w:hint="default" w:ascii="Times New Roman" w:hAnsi="Times New Roman" w:eastAsia="方正仿宋_GBK" w:cs="Times New Roman"/>
                <w:color w:val="000000"/>
                <w:kern w:val="0"/>
                <w:sz w:val="18"/>
                <w:szCs w:val="18"/>
                <w:lang w:bidi="ar"/>
              </w:rPr>
              <w:t>92.78</w:t>
            </w:r>
          </w:p>
        </w:tc>
        <w:tc>
          <w:tcPr>
            <w:tcW w:w="185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outlineLvl w:val="9"/>
              <w:rPr>
                <w:rFonts w:hint="default" w:ascii="Times New Roman" w:hAnsi="Times New Roman" w:eastAsia="方正仿宋_GBK" w:cs="Times New Roman"/>
                <w:color w:val="000000"/>
                <w:sz w:val="18"/>
                <w:szCs w:val="18"/>
                <w:lang w:val="en-US" w:eastAsia="zh-CN"/>
              </w:rPr>
            </w:pPr>
            <w:r>
              <w:rPr>
                <w:rFonts w:hint="default" w:ascii="Times New Roman" w:hAnsi="Times New Roman" w:eastAsia="方正仿宋_GBK" w:cs="Times New Roman"/>
                <w:color w:val="000000"/>
                <w:sz w:val="18"/>
                <w:szCs w:val="18"/>
                <w:lang w:val="en-US" w:eastAsia="zh-CN"/>
              </w:rPr>
              <w:t>10</w:t>
            </w:r>
          </w:p>
        </w:tc>
        <w:tc>
          <w:tcPr>
            <w:tcW w:w="149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outlineLvl w:val="9"/>
              <w:rPr>
                <w:rFonts w:hint="default" w:ascii="Times New Roman" w:hAnsi="Times New Roman" w:eastAsia="方正仿宋_GBK" w:cs="Times New Roman"/>
                <w:color w:val="000000"/>
                <w:sz w:val="18"/>
                <w:szCs w:val="18"/>
                <w:lang w:val="en-US" w:eastAsia="zh-CN"/>
              </w:rPr>
            </w:pPr>
            <w:r>
              <w:rPr>
                <w:rFonts w:hint="default" w:ascii="Times New Roman" w:hAnsi="Times New Roman" w:eastAsia="方正仿宋_GBK" w:cs="Times New Roman"/>
                <w:color w:val="000000"/>
                <w:sz w:val="18"/>
                <w:szCs w:val="18"/>
                <w:lang w:val="en-US" w:eastAsia="zh-CN"/>
              </w:rPr>
              <w:t>9.27</w:t>
            </w:r>
          </w:p>
        </w:tc>
      </w:tr>
      <w:tr>
        <w:tblPrEx>
          <w:tblLayout w:type="fixed"/>
          <w:tblCellMar>
            <w:top w:w="0" w:type="dxa"/>
            <w:left w:w="108" w:type="dxa"/>
            <w:bottom w:w="0" w:type="dxa"/>
            <w:right w:w="108" w:type="dxa"/>
          </w:tblCellMar>
        </w:tblPrEx>
        <w:trPr>
          <w:trHeight w:val="600" w:hRule="atLeast"/>
        </w:trPr>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方正仿宋_GBK" w:cs="Times New Roman"/>
                <w:color w:val="000000"/>
                <w:kern w:val="0"/>
                <w:sz w:val="18"/>
                <w:szCs w:val="18"/>
                <w:lang w:bidi="ar"/>
              </w:rPr>
            </w:pPr>
            <w:r>
              <w:rPr>
                <w:rFonts w:hint="default" w:ascii="Times New Roman" w:hAnsi="Times New Roman" w:eastAsia="方正仿宋_GBK" w:cs="Times New Roman"/>
                <w:color w:val="000000"/>
                <w:kern w:val="0"/>
                <w:sz w:val="18"/>
                <w:szCs w:val="18"/>
                <w:lang w:bidi="ar"/>
              </w:rPr>
              <w:t>一般公共预算</w:t>
            </w:r>
          </w:p>
        </w:tc>
        <w:tc>
          <w:tcPr>
            <w:tcW w:w="128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outlineLvl w:val="9"/>
              <w:rPr>
                <w:rFonts w:hint="default" w:ascii="Times New Roman" w:hAnsi="Times New Roman" w:eastAsia="方正仿宋_GBK" w:cs="Times New Roman"/>
                <w:color w:val="000000"/>
                <w:sz w:val="18"/>
                <w:szCs w:val="18"/>
                <w:lang w:val="en-US" w:eastAsia="zh-CN"/>
              </w:rPr>
            </w:pPr>
            <w:r>
              <w:rPr>
                <w:rFonts w:hint="default" w:ascii="Times New Roman" w:hAnsi="Times New Roman" w:eastAsia="方正仿宋_GBK" w:cs="Times New Roman"/>
                <w:color w:val="000000"/>
                <w:sz w:val="18"/>
                <w:szCs w:val="18"/>
                <w:lang w:val="en-US" w:eastAsia="zh-CN"/>
              </w:rPr>
              <w:t>4501.35</w:t>
            </w:r>
          </w:p>
        </w:tc>
        <w:tc>
          <w:tcPr>
            <w:tcW w:w="10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方正仿宋_GBK" w:cs="Times New Roman"/>
                <w:color w:val="000000"/>
                <w:kern w:val="0"/>
                <w:sz w:val="18"/>
                <w:szCs w:val="18"/>
                <w:lang w:bidi="ar"/>
              </w:rPr>
            </w:pPr>
            <w:r>
              <w:rPr>
                <w:rFonts w:hint="default" w:ascii="Times New Roman" w:hAnsi="Times New Roman" w:eastAsia="方正仿宋_GBK" w:cs="Times New Roman"/>
                <w:color w:val="000000"/>
                <w:kern w:val="0"/>
                <w:sz w:val="18"/>
                <w:szCs w:val="18"/>
                <w:lang w:bidi="ar"/>
              </w:rPr>
              <w:t>2418.04</w:t>
            </w:r>
          </w:p>
        </w:tc>
        <w:tc>
          <w:tcPr>
            <w:tcW w:w="130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outlineLvl w:val="9"/>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2243.46</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方正仿宋_GBK" w:cs="Times New Roman"/>
                <w:color w:val="000000"/>
                <w:kern w:val="0"/>
                <w:sz w:val="18"/>
                <w:szCs w:val="18"/>
                <w:lang w:bidi="ar"/>
              </w:rPr>
            </w:pPr>
            <w:r>
              <w:rPr>
                <w:rFonts w:hint="default" w:ascii="Times New Roman" w:hAnsi="Times New Roman" w:eastAsia="方正仿宋_GBK" w:cs="Times New Roman"/>
                <w:color w:val="000000"/>
                <w:kern w:val="0"/>
                <w:sz w:val="18"/>
                <w:szCs w:val="18"/>
                <w:lang w:bidi="ar"/>
              </w:rPr>
              <w:t>92.78</w:t>
            </w:r>
          </w:p>
        </w:tc>
        <w:tc>
          <w:tcPr>
            <w:tcW w:w="185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outlineLvl w:val="9"/>
              <w:rPr>
                <w:rFonts w:hint="default" w:ascii="Times New Roman" w:hAnsi="Times New Roman" w:eastAsia="方正仿宋_GBK" w:cs="Times New Roman"/>
                <w:color w:val="000000"/>
                <w:sz w:val="18"/>
                <w:szCs w:val="18"/>
              </w:rPr>
            </w:pPr>
          </w:p>
        </w:tc>
        <w:tc>
          <w:tcPr>
            <w:tcW w:w="149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outlineLvl w:val="9"/>
              <w:rPr>
                <w:rFonts w:hint="default" w:ascii="Times New Roman" w:hAnsi="Times New Roman" w:eastAsia="方正仿宋_GBK" w:cs="Times New Roman"/>
                <w:color w:val="000000"/>
                <w:sz w:val="18"/>
                <w:szCs w:val="18"/>
                <w:lang w:val="en-US" w:eastAsia="zh-CN"/>
              </w:rPr>
            </w:pPr>
          </w:p>
        </w:tc>
      </w:tr>
      <w:tr>
        <w:tblPrEx>
          <w:tblLayout w:type="fixed"/>
          <w:tblCellMar>
            <w:top w:w="0" w:type="dxa"/>
            <w:left w:w="108" w:type="dxa"/>
            <w:bottom w:w="0" w:type="dxa"/>
            <w:right w:w="108" w:type="dxa"/>
          </w:tblCellMar>
        </w:tblPrEx>
        <w:trPr>
          <w:trHeight w:val="450" w:hRule="atLeast"/>
        </w:trPr>
        <w:tc>
          <w:tcPr>
            <w:tcW w:w="87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当年绩效</w:t>
            </w:r>
            <w:r>
              <w:rPr>
                <w:rFonts w:hint="default" w:ascii="Times New Roman" w:hAnsi="Times New Roman" w:eastAsia="方正仿宋_GBK" w:cs="Times New Roman"/>
                <w:color w:val="000000"/>
                <w:kern w:val="0"/>
                <w:sz w:val="18"/>
                <w:szCs w:val="18"/>
                <w:lang w:bidi="ar"/>
              </w:rPr>
              <w:br w:type="textWrapping"/>
            </w:r>
            <w:r>
              <w:rPr>
                <w:rFonts w:hint="default" w:ascii="Times New Roman" w:hAnsi="Times New Roman" w:eastAsia="方正仿宋_GBK" w:cs="Times New Roman"/>
                <w:color w:val="000000"/>
                <w:kern w:val="0"/>
                <w:sz w:val="18"/>
                <w:szCs w:val="18"/>
                <w:lang w:bidi="ar"/>
              </w:rPr>
              <w:t>目标</w:t>
            </w:r>
          </w:p>
        </w:tc>
        <w:tc>
          <w:tcPr>
            <w:tcW w:w="229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年初绩效目标</w:t>
            </w:r>
          </w:p>
        </w:tc>
        <w:tc>
          <w:tcPr>
            <w:tcW w:w="2327"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全年（调整）绩效目标</w:t>
            </w:r>
          </w:p>
        </w:tc>
        <w:tc>
          <w:tcPr>
            <w:tcW w:w="3355"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全年目标实际完成情况</w:t>
            </w:r>
          </w:p>
        </w:tc>
      </w:tr>
      <w:tr>
        <w:tblPrEx>
          <w:tblLayout w:type="fixed"/>
          <w:tblCellMar>
            <w:top w:w="0" w:type="dxa"/>
            <w:left w:w="108" w:type="dxa"/>
            <w:bottom w:w="0" w:type="dxa"/>
            <w:right w:w="108" w:type="dxa"/>
          </w:tblCellMar>
        </w:tblPrEx>
        <w:trPr>
          <w:trHeight w:val="3494" w:hRule="atLeast"/>
        </w:trPr>
        <w:tc>
          <w:tcPr>
            <w:tcW w:w="87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outlineLvl w:val="9"/>
              <w:rPr>
                <w:rFonts w:hint="default" w:ascii="Times New Roman" w:hAnsi="Times New Roman" w:eastAsia="方正仿宋_GBK" w:cs="Times New Roman"/>
                <w:color w:val="000000"/>
                <w:sz w:val="18"/>
                <w:szCs w:val="18"/>
              </w:rPr>
            </w:pPr>
          </w:p>
        </w:tc>
        <w:tc>
          <w:tcPr>
            <w:tcW w:w="229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360" w:firstLineChars="200"/>
              <w:jc w:val="left"/>
              <w:textAlignment w:val="auto"/>
              <w:outlineLvl w:val="9"/>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kern w:val="0"/>
                <w:sz w:val="18"/>
                <w:szCs w:val="18"/>
                <w:lang w:val="en-US" w:eastAsia="zh-CN" w:bidi="ar"/>
              </w:rPr>
              <w:t>贯彻县委、县政府决策部署，推动全县经济社会发展。维护和健全“信用中国（重庆秀山）”社会信用体系平台，推进秀山信用产品应用及信用产业发展；做好粮油相关工作；抓实公共资源交易监管。</w:t>
            </w:r>
          </w:p>
        </w:tc>
        <w:tc>
          <w:tcPr>
            <w:tcW w:w="2327"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outlineLvl w:val="9"/>
              <w:rPr>
                <w:rFonts w:hint="default" w:ascii="Times New Roman" w:hAnsi="Times New Roman" w:eastAsia="方正仿宋_GBK" w:cs="Times New Roman"/>
                <w:color w:val="000000"/>
                <w:sz w:val="18"/>
                <w:szCs w:val="18"/>
              </w:rPr>
            </w:pPr>
          </w:p>
        </w:tc>
        <w:tc>
          <w:tcPr>
            <w:tcW w:w="3355"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left"/>
              <w:rPr>
                <w:rFonts w:hint="default" w:ascii="Times New Roman" w:hAnsi="Times New Roman" w:eastAsia="方正仿宋_GBK" w:cs="Times New Roman"/>
                <w:kern w:val="0"/>
                <w:sz w:val="18"/>
                <w:szCs w:val="18"/>
                <w:lang w:val="en-US" w:eastAsia="zh-CN" w:bidi="ar"/>
              </w:rPr>
            </w:pPr>
            <w:r>
              <w:rPr>
                <w:rFonts w:hint="default" w:ascii="Times New Roman" w:hAnsi="Times New Roman" w:eastAsia="方正仿宋_GBK" w:cs="Times New Roman"/>
                <w:kern w:val="0"/>
                <w:sz w:val="18"/>
                <w:szCs w:val="18"/>
                <w:lang w:val="en-US" w:eastAsia="zh-CN" w:bidi="ar"/>
              </w:rPr>
              <w:t xml:space="preserve"> 贯彻县委、县政府决策部署，推动全县经济社会发展取得新成效。全年地区生产总值完成369.5亿元，同比增长6.4%。完成各类经济规划及项目概算126项，共争取市级以上专项资金7.19亿元（中央预算内资金5.63亿元，市级资金1.56亿元），印发推进社会信用体系建设实施方案，推动我县社会信用体系建设法治化，成功申报为市级“三农”信用体系建设试点区县。</w:t>
            </w:r>
          </w:p>
          <w:p>
            <w:pPr>
              <w:keepNext w:val="0"/>
              <w:keepLines w:val="0"/>
              <w:widowControl/>
              <w:suppressLineNumbers w:val="0"/>
              <w:spacing w:line="240" w:lineRule="auto"/>
              <w:jc w:val="left"/>
              <w:rPr>
                <w:rFonts w:hint="default" w:ascii="Times New Roman" w:hAnsi="Times New Roman" w:eastAsia="方正仿宋_GBK" w:cs="Times New Roman"/>
                <w:kern w:val="0"/>
                <w:sz w:val="18"/>
                <w:szCs w:val="18"/>
                <w:lang w:val="en-US" w:eastAsia="zh-CN" w:bidi="ar"/>
              </w:rPr>
            </w:pPr>
            <w:r>
              <w:rPr>
                <w:rFonts w:hint="default" w:ascii="Times New Roman" w:hAnsi="Times New Roman" w:eastAsia="方正仿宋_GBK" w:cs="Times New Roman"/>
                <w:kern w:val="0"/>
                <w:sz w:val="18"/>
                <w:szCs w:val="18"/>
                <w:lang w:val="en-US" w:eastAsia="zh-CN" w:bidi="ar"/>
              </w:rPr>
              <w:t xml:space="preserve">    完善重大项目新开工、在建、前期清单管理机制，协调县级相关部门加强用地、用能、环评等要素保障。2023年实施县级重点建设项目179个，全县固定资产投资完成187.2亿元，同比增长0.7%。</w:t>
            </w:r>
          </w:p>
          <w:p>
            <w:pPr>
              <w:keepNext w:val="0"/>
              <w:keepLines w:val="0"/>
              <w:widowControl/>
              <w:suppressLineNumbers w:val="0"/>
              <w:spacing w:line="240" w:lineRule="auto"/>
              <w:jc w:val="left"/>
              <w:rPr>
                <w:rFonts w:hint="default" w:ascii="Times New Roman" w:hAnsi="Times New Roman" w:eastAsia="方正仿宋_GBK" w:cs="Times New Roman"/>
                <w:kern w:val="0"/>
                <w:sz w:val="18"/>
                <w:szCs w:val="18"/>
                <w:lang w:val="en-US" w:eastAsia="zh-CN" w:bidi="ar"/>
              </w:rPr>
            </w:pPr>
            <w:r>
              <w:rPr>
                <w:rFonts w:hint="default" w:ascii="Times New Roman" w:hAnsi="Times New Roman" w:eastAsia="方正仿宋_GBK" w:cs="Times New Roman"/>
                <w:kern w:val="0"/>
                <w:sz w:val="18"/>
                <w:szCs w:val="18"/>
                <w:lang w:val="en-US" w:eastAsia="zh-CN" w:bidi="ar"/>
              </w:rPr>
              <w:t xml:space="preserve">    牵头建立县级主要经济部门协同工作机制，扎实做好月度、季度经济形势分析研判。动态抓好国民经济和社会发展计划监测。</w:t>
            </w:r>
          </w:p>
          <w:p>
            <w:pPr>
              <w:keepNext w:val="0"/>
              <w:keepLines w:val="0"/>
              <w:widowControl/>
              <w:suppressLineNumbers w:val="0"/>
              <w:spacing w:line="240" w:lineRule="auto"/>
              <w:jc w:val="left"/>
              <w:rPr>
                <w:rFonts w:hint="default" w:ascii="Times New Roman" w:hAnsi="Times New Roman" w:eastAsia="方正仿宋_GBK" w:cs="Times New Roman"/>
                <w:kern w:val="0"/>
                <w:sz w:val="18"/>
                <w:szCs w:val="18"/>
                <w:lang w:val="en-US" w:eastAsia="zh-CN" w:bidi="ar"/>
              </w:rPr>
            </w:pPr>
            <w:r>
              <w:rPr>
                <w:rFonts w:hint="default" w:ascii="Times New Roman" w:hAnsi="Times New Roman" w:eastAsia="方正仿宋_GBK" w:cs="Times New Roman"/>
                <w:kern w:val="0"/>
                <w:sz w:val="18"/>
                <w:szCs w:val="18"/>
                <w:lang w:val="en-US" w:eastAsia="zh-CN" w:bidi="ar"/>
              </w:rPr>
              <w:t xml:space="preserve">    严格落实地方政府粮食储备任务，做好年度轮换。</w:t>
            </w:r>
          </w:p>
          <w:p>
            <w:pPr>
              <w:keepNext w:val="0"/>
              <w:keepLines w:val="0"/>
              <w:widowControl/>
              <w:suppressLineNumbers w:val="0"/>
              <w:spacing w:line="240" w:lineRule="auto"/>
              <w:jc w:val="left"/>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kern w:val="0"/>
                <w:sz w:val="18"/>
                <w:szCs w:val="18"/>
                <w:lang w:val="en-US" w:eastAsia="zh-CN" w:bidi="ar"/>
              </w:rPr>
              <w:t xml:space="preserve">    深化公共资源交易监管改革，加大违法查处力度，促进公共资源交易公开公平稳定。全年完成工程建设项目招标方案核准56宗，及时备案招标公告90件。进入市、县级平台交易的公开招标工程建设项目共93个，成交金额28.1亿元。</w:t>
            </w:r>
          </w:p>
        </w:tc>
      </w:tr>
      <w:tr>
        <w:tblPrEx>
          <w:tblLayout w:type="fixed"/>
          <w:tblCellMar>
            <w:top w:w="0" w:type="dxa"/>
            <w:left w:w="108" w:type="dxa"/>
            <w:bottom w:w="0" w:type="dxa"/>
            <w:right w:w="108" w:type="dxa"/>
          </w:tblCellMar>
        </w:tblPrEx>
        <w:trPr>
          <w:trHeight w:val="672" w:hRule="atLeast"/>
        </w:trPr>
        <w:tc>
          <w:tcPr>
            <w:tcW w:w="870" w:type="dxa"/>
            <w:vMerge w:val="restart"/>
            <w:tcBorders>
              <w:top w:val="single" w:color="000000" w:sz="4" w:space="0"/>
              <w:left w:val="single" w:color="000000" w:sz="4" w:space="0"/>
              <w:bottom w:val="single" w:color="000000" w:sz="4" w:space="0"/>
              <w:right w:val="single" w:color="000000" w:sz="4" w:space="0"/>
            </w:tcBorders>
            <w:textDirection w:val="tbRlV"/>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绩效指标</w:t>
            </w:r>
          </w:p>
        </w:tc>
        <w:tc>
          <w:tcPr>
            <w:tcW w:w="128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指标名称</w:t>
            </w:r>
          </w:p>
        </w:tc>
        <w:tc>
          <w:tcPr>
            <w:tcW w:w="10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计量</w:t>
            </w:r>
            <w:r>
              <w:rPr>
                <w:rFonts w:hint="default" w:ascii="Times New Roman" w:hAnsi="Times New Roman" w:eastAsia="方正仿宋_GBK" w:cs="Times New Roman"/>
                <w:color w:val="000000"/>
                <w:kern w:val="0"/>
                <w:sz w:val="18"/>
                <w:szCs w:val="18"/>
                <w:lang w:bidi="ar"/>
              </w:rPr>
              <w:br w:type="textWrapping"/>
            </w:r>
            <w:r>
              <w:rPr>
                <w:rFonts w:hint="default" w:ascii="Times New Roman" w:hAnsi="Times New Roman" w:eastAsia="方正仿宋_GBK" w:cs="Times New Roman"/>
                <w:color w:val="000000"/>
                <w:kern w:val="0"/>
                <w:sz w:val="18"/>
                <w:szCs w:val="18"/>
                <w:lang w:bidi="ar"/>
              </w:rPr>
              <w:t>单位</w:t>
            </w:r>
          </w:p>
        </w:tc>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指标</w:t>
            </w:r>
            <w:r>
              <w:rPr>
                <w:rFonts w:hint="default" w:ascii="Times New Roman" w:hAnsi="Times New Roman" w:eastAsia="方正仿宋_GBK" w:cs="Times New Roman"/>
                <w:color w:val="000000"/>
                <w:kern w:val="0"/>
                <w:sz w:val="18"/>
                <w:szCs w:val="18"/>
                <w:lang w:bidi="ar"/>
              </w:rPr>
              <w:br w:type="textWrapping"/>
            </w:r>
            <w:r>
              <w:rPr>
                <w:rFonts w:hint="default" w:ascii="Times New Roman" w:hAnsi="Times New Roman" w:eastAsia="方正仿宋_GBK" w:cs="Times New Roman"/>
                <w:color w:val="000000"/>
                <w:kern w:val="0"/>
                <w:sz w:val="18"/>
                <w:szCs w:val="18"/>
                <w:lang w:bidi="ar"/>
              </w:rPr>
              <w:t>性质</w:t>
            </w:r>
          </w:p>
        </w:tc>
        <w:tc>
          <w:tcPr>
            <w:tcW w:w="7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指标值</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指标权重</w:t>
            </w:r>
            <w:r>
              <w:rPr>
                <w:rFonts w:hint="default" w:ascii="Times New Roman" w:hAnsi="Times New Roman" w:eastAsia="方正仿宋_GBK" w:cs="Times New Roman"/>
                <w:color w:val="000000"/>
                <w:kern w:val="0"/>
                <w:sz w:val="18"/>
                <w:szCs w:val="18"/>
                <w:lang w:bidi="ar"/>
              </w:rPr>
              <w:br w:type="textWrapping"/>
            </w:r>
            <w:r>
              <w:rPr>
                <w:rFonts w:hint="default" w:ascii="Times New Roman" w:hAnsi="Times New Roman" w:eastAsia="方正仿宋_GBK" w:cs="Times New Roman"/>
                <w:color w:val="000000"/>
                <w:kern w:val="0"/>
                <w:sz w:val="18"/>
                <w:szCs w:val="18"/>
                <w:lang w:bidi="ar"/>
              </w:rPr>
              <w:t>（分）</w:t>
            </w:r>
          </w:p>
        </w:tc>
        <w:tc>
          <w:tcPr>
            <w:tcW w:w="8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全年</w:t>
            </w:r>
            <w:r>
              <w:rPr>
                <w:rFonts w:hint="default" w:ascii="Times New Roman" w:hAnsi="Times New Roman" w:eastAsia="方正仿宋_GBK" w:cs="Times New Roman"/>
                <w:color w:val="000000"/>
                <w:kern w:val="0"/>
                <w:sz w:val="18"/>
                <w:szCs w:val="18"/>
                <w:lang w:bidi="ar"/>
              </w:rPr>
              <w:br w:type="textWrapping"/>
            </w:r>
            <w:r>
              <w:rPr>
                <w:rFonts w:hint="default" w:ascii="Times New Roman" w:hAnsi="Times New Roman" w:eastAsia="方正仿宋_GBK" w:cs="Times New Roman"/>
                <w:color w:val="000000"/>
                <w:kern w:val="0"/>
                <w:sz w:val="18"/>
                <w:szCs w:val="18"/>
                <w:lang w:bidi="ar"/>
              </w:rPr>
              <w:t>完成值</w:t>
            </w:r>
          </w:p>
        </w:tc>
        <w:tc>
          <w:tcPr>
            <w:tcW w:w="10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指标得分</w:t>
            </w:r>
            <w:r>
              <w:rPr>
                <w:rFonts w:hint="default" w:ascii="Times New Roman" w:hAnsi="Times New Roman" w:eastAsia="方正仿宋_GBK" w:cs="Times New Roman"/>
                <w:color w:val="000000"/>
                <w:kern w:val="0"/>
                <w:sz w:val="18"/>
                <w:szCs w:val="18"/>
                <w:lang w:bidi="ar"/>
              </w:rPr>
              <w:br w:type="textWrapping"/>
            </w:r>
            <w:r>
              <w:rPr>
                <w:rFonts w:hint="default" w:ascii="Times New Roman" w:hAnsi="Times New Roman" w:eastAsia="方正仿宋_GBK" w:cs="Times New Roman"/>
                <w:color w:val="000000"/>
                <w:kern w:val="0"/>
                <w:sz w:val="18"/>
                <w:szCs w:val="18"/>
                <w:lang w:bidi="ar"/>
              </w:rPr>
              <w:t>（分）</w:t>
            </w:r>
          </w:p>
        </w:tc>
        <w:tc>
          <w:tcPr>
            <w:tcW w:w="149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说明</w:t>
            </w:r>
          </w:p>
        </w:tc>
      </w:tr>
      <w:tr>
        <w:tblPrEx>
          <w:tblLayout w:type="fixed"/>
          <w:tblCellMar>
            <w:top w:w="0" w:type="dxa"/>
            <w:left w:w="108" w:type="dxa"/>
            <w:bottom w:w="0" w:type="dxa"/>
            <w:right w:w="108" w:type="dxa"/>
          </w:tblCellMar>
        </w:tblPrEx>
        <w:trPr>
          <w:trHeight w:val="646" w:hRule="atLeast"/>
        </w:trPr>
        <w:tc>
          <w:tcPr>
            <w:tcW w:w="870"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outlineLvl w:val="9"/>
              <w:rPr>
                <w:rFonts w:hint="default" w:ascii="Times New Roman" w:hAnsi="Times New Roman" w:eastAsia="方正仿宋_GBK" w:cs="Times New Roman"/>
                <w:color w:val="000000"/>
                <w:sz w:val="18"/>
                <w:szCs w:val="18"/>
              </w:rPr>
            </w:pPr>
          </w:p>
        </w:tc>
        <w:tc>
          <w:tcPr>
            <w:tcW w:w="1281"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sz w:val="18"/>
                <w:szCs w:val="18"/>
              </w:rPr>
              <w:t>完成各类经济规划及项目概算</w:t>
            </w:r>
          </w:p>
        </w:tc>
        <w:tc>
          <w:tcPr>
            <w:tcW w:w="10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color w:val="000000"/>
                <w:kern w:val="0"/>
                <w:sz w:val="18"/>
                <w:szCs w:val="18"/>
                <w:u w:val="none"/>
                <w:lang w:val="en-US" w:eastAsia="zh-CN" w:bidi="ar"/>
              </w:rPr>
              <w:t>项</w:t>
            </w:r>
          </w:p>
        </w:tc>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color w:val="000000"/>
                <w:kern w:val="0"/>
                <w:sz w:val="18"/>
                <w:szCs w:val="18"/>
                <w:u w:val="none"/>
                <w:lang w:val="en-US" w:eastAsia="zh-CN" w:bidi="ar"/>
              </w:rPr>
              <w:t>≥</w:t>
            </w:r>
          </w:p>
        </w:tc>
        <w:tc>
          <w:tcPr>
            <w:tcW w:w="7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方正仿宋_GBK" w:cs="Times New Roman"/>
                <w:color w:val="000000"/>
                <w:sz w:val="18"/>
                <w:szCs w:val="18"/>
                <w:lang w:val="en-US"/>
              </w:rPr>
            </w:pPr>
            <w:r>
              <w:rPr>
                <w:rFonts w:hint="default" w:ascii="Times New Roman" w:hAnsi="Times New Roman" w:eastAsia="方正仿宋_GBK" w:cs="Times New Roman"/>
                <w:i w:val="0"/>
                <w:color w:val="000000"/>
                <w:kern w:val="0"/>
                <w:sz w:val="18"/>
                <w:szCs w:val="18"/>
                <w:u w:val="none"/>
                <w:lang w:val="en-US" w:eastAsia="zh-CN" w:bidi="ar"/>
              </w:rPr>
              <w:t>110</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方正仿宋_GBK" w:cs="Times New Roman"/>
                <w:color w:val="000000"/>
                <w:sz w:val="18"/>
                <w:szCs w:val="18"/>
                <w:lang w:val="en-US"/>
              </w:rPr>
            </w:pPr>
            <w:r>
              <w:rPr>
                <w:rFonts w:hint="default" w:ascii="Times New Roman" w:hAnsi="Times New Roman" w:eastAsia="方正仿宋_GBK" w:cs="Times New Roman"/>
                <w:i w:val="0"/>
                <w:color w:val="000000"/>
                <w:kern w:val="0"/>
                <w:sz w:val="18"/>
                <w:szCs w:val="18"/>
                <w:u w:val="none"/>
                <w:lang w:val="en-US" w:eastAsia="zh-CN" w:bidi="ar"/>
              </w:rPr>
              <w:t>30</w:t>
            </w:r>
          </w:p>
        </w:tc>
        <w:tc>
          <w:tcPr>
            <w:tcW w:w="8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方正仿宋_GBK" w:cs="Times New Roman"/>
                <w:color w:val="000000"/>
                <w:sz w:val="18"/>
                <w:szCs w:val="18"/>
                <w:lang w:val="en-US"/>
              </w:rPr>
            </w:pPr>
            <w:r>
              <w:rPr>
                <w:rFonts w:hint="default" w:ascii="Times New Roman" w:hAnsi="Times New Roman" w:eastAsia="方正仿宋_GBK" w:cs="Times New Roman"/>
                <w:i w:val="0"/>
                <w:color w:val="000000"/>
                <w:kern w:val="0"/>
                <w:sz w:val="18"/>
                <w:szCs w:val="18"/>
                <w:u w:val="none"/>
                <w:lang w:val="en-US" w:eastAsia="zh-CN" w:bidi="ar"/>
              </w:rPr>
              <w:t>126</w:t>
            </w:r>
          </w:p>
        </w:tc>
        <w:tc>
          <w:tcPr>
            <w:tcW w:w="10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方正仿宋_GBK" w:cs="Times New Roman"/>
                <w:color w:val="000000"/>
                <w:sz w:val="18"/>
                <w:szCs w:val="18"/>
                <w:lang w:val="en-US"/>
              </w:rPr>
            </w:pPr>
            <w:r>
              <w:rPr>
                <w:rFonts w:hint="default" w:ascii="Times New Roman" w:hAnsi="Times New Roman" w:eastAsia="方正仿宋_GBK" w:cs="Times New Roman"/>
                <w:i w:val="0"/>
                <w:color w:val="000000"/>
                <w:kern w:val="0"/>
                <w:sz w:val="18"/>
                <w:szCs w:val="18"/>
                <w:u w:val="none"/>
                <w:lang w:val="en-US" w:eastAsia="zh-CN" w:bidi="ar"/>
              </w:rPr>
              <w:t>30</w:t>
            </w:r>
          </w:p>
        </w:tc>
        <w:tc>
          <w:tcPr>
            <w:tcW w:w="149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outlineLvl w:val="9"/>
              <w:rPr>
                <w:rFonts w:hint="default" w:ascii="Times New Roman" w:hAnsi="Times New Roman" w:eastAsia="方正仿宋_GBK" w:cs="Times New Roman"/>
                <w:color w:val="000000"/>
                <w:sz w:val="18"/>
                <w:szCs w:val="18"/>
              </w:rPr>
            </w:pPr>
          </w:p>
        </w:tc>
      </w:tr>
      <w:tr>
        <w:tblPrEx>
          <w:tblLayout w:type="fixed"/>
          <w:tblCellMar>
            <w:top w:w="0" w:type="dxa"/>
            <w:left w:w="108" w:type="dxa"/>
            <w:bottom w:w="0" w:type="dxa"/>
            <w:right w:w="108" w:type="dxa"/>
          </w:tblCellMar>
        </w:tblPrEx>
        <w:trPr>
          <w:trHeight w:val="648" w:hRule="atLeast"/>
        </w:trPr>
        <w:tc>
          <w:tcPr>
            <w:tcW w:w="870"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outlineLvl w:val="9"/>
              <w:rPr>
                <w:rFonts w:hint="default" w:ascii="Times New Roman" w:hAnsi="Times New Roman" w:eastAsia="方正仿宋_GBK" w:cs="Times New Roman"/>
                <w:color w:val="000000"/>
                <w:sz w:val="18"/>
                <w:szCs w:val="18"/>
              </w:rPr>
            </w:pPr>
          </w:p>
        </w:tc>
        <w:tc>
          <w:tcPr>
            <w:tcW w:w="128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sz w:val="18"/>
                <w:szCs w:val="18"/>
              </w:rPr>
              <w:t>实现地区生产总值增长</w:t>
            </w:r>
          </w:p>
        </w:tc>
        <w:tc>
          <w:tcPr>
            <w:tcW w:w="10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color w:val="000000"/>
                <w:kern w:val="0"/>
                <w:sz w:val="18"/>
                <w:szCs w:val="18"/>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color w:val="000000"/>
                <w:kern w:val="0"/>
                <w:sz w:val="18"/>
                <w:szCs w:val="18"/>
                <w:u w:val="none"/>
                <w:lang w:val="en-US" w:eastAsia="zh-CN" w:bidi="ar"/>
              </w:rPr>
              <w:t>≥</w:t>
            </w:r>
          </w:p>
        </w:tc>
        <w:tc>
          <w:tcPr>
            <w:tcW w:w="7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color w:val="000000"/>
                <w:kern w:val="0"/>
                <w:sz w:val="18"/>
                <w:szCs w:val="18"/>
                <w:u w:val="none"/>
                <w:lang w:val="en-US" w:eastAsia="zh-CN" w:bidi="ar"/>
              </w:rPr>
              <w:t>6</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方正仿宋_GBK" w:cs="Times New Roman"/>
                <w:color w:val="000000"/>
                <w:sz w:val="18"/>
                <w:szCs w:val="18"/>
                <w:lang w:val="en-US"/>
              </w:rPr>
            </w:pPr>
            <w:r>
              <w:rPr>
                <w:rFonts w:hint="default" w:ascii="Times New Roman" w:hAnsi="Times New Roman" w:eastAsia="方正仿宋_GBK" w:cs="Times New Roman"/>
                <w:i w:val="0"/>
                <w:color w:val="000000"/>
                <w:kern w:val="0"/>
                <w:sz w:val="18"/>
                <w:szCs w:val="18"/>
                <w:u w:val="none"/>
                <w:lang w:val="en-US" w:eastAsia="zh-CN" w:bidi="ar"/>
              </w:rPr>
              <w:t>30</w:t>
            </w:r>
          </w:p>
        </w:tc>
        <w:tc>
          <w:tcPr>
            <w:tcW w:w="8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方正仿宋_GBK" w:cs="Times New Roman"/>
                <w:color w:val="000000"/>
                <w:sz w:val="18"/>
                <w:szCs w:val="18"/>
                <w:lang w:val="en-US" w:eastAsia="zh-CN"/>
              </w:rPr>
            </w:pPr>
            <w:r>
              <w:rPr>
                <w:rFonts w:hint="default" w:ascii="Times New Roman" w:hAnsi="Times New Roman" w:eastAsia="方正仿宋_GBK" w:cs="Times New Roman"/>
                <w:color w:val="000000"/>
                <w:sz w:val="18"/>
                <w:szCs w:val="18"/>
                <w:lang w:val="en-US" w:eastAsia="zh-CN"/>
              </w:rPr>
              <w:t>6.4</w:t>
            </w:r>
          </w:p>
        </w:tc>
        <w:tc>
          <w:tcPr>
            <w:tcW w:w="10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方正仿宋_GBK" w:cs="Times New Roman"/>
                <w:color w:val="000000"/>
                <w:sz w:val="18"/>
                <w:szCs w:val="18"/>
                <w:lang w:val="en-US"/>
              </w:rPr>
            </w:pPr>
            <w:r>
              <w:rPr>
                <w:rFonts w:hint="default" w:ascii="Times New Roman" w:hAnsi="Times New Roman" w:eastAsia="方正仿宋_GBK" w:cs="Times New Roman"/>
                <w:i w:val="0"/>
                <w:color w:val="000000"/>
                <w:kern w:val="0"/>
                <w:sz w:val="18"/>
                <w:szCs w:val="18"/>
                <w:u w:val="none"/>
                <w:lang w:val="en-US" w:eastAsia="zh-CN" w:bidi="ar"/>
              </w:rPr>
              <w:t>30</w:t>
            </w:r>
          </w:p>
        </w:tc>
        <w:tc>
          <w:tcPr>
            <w:tcW w:w="149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方正仿宋_GBK" w:cs="Times New Roman"/>
                <w:color w:val="000000"/>
                <w:sz w:val="18"/>
                <w:szCs w:val="18"/>
              </w:rPr>
            </w:pPr>
          </w:p>
        </w:tc>
      </w:tr>
      <w:tr>
        <w:tblPrEx>
          <w:tblLayout w:type="fixed"/>
          <w:tblCellMar>
            <w:top w:w="0" w:type="dxa"/>
            <w:left w:w="108" w:type="dxa"/>
            <w:bottom w:w="0" w:type="dxa"/>
            <w:right w:w="108" w:type="dxa"/>
          </w:tblCellMar>
        </w:tblPrEx>
        <w:trPr>
          <w:trHeight w:val="648" w:hRule="atLeast"/>
        </w:trPr>
        <w:tc>
          <w:tcPr>
            <w:tcW w:w="870"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outlineLvl w:val="9"/>
              <w:rPr>
                <w:rFonts w:hint="default" w:ascii="Times New Roman" w:hAnsi="Times New Roman" w:eastAsia="方正仿宋_GBK" w:cs="Times New Roman"/>
                <w:color w:val="000000"/>
                <w:sz w:val="18"/>
                <w:szCs w:val="18"/>
              </w:rPr>
            </w:pPr>
          </w:p>
        </w:tc>
        <w:tc>
          <w:tcPr>
            <w:tcW w:w="128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方正仿宋_GBK" w:cs="Times New Roman"/>
                <w:color w:val="000000"/>
                <w:sz w:val="18"/>
                <w:szCs w:val="18"/>
                <w:lang w:val="en-US"/>
              </w:rPr>
            </w:pPr>
            <w:r>
              <w:rPr>
                <w:rFonts w:hint="default" w:ascii="Times New Roman" w:hAnsi="Times New Roman" w:eastAsia="方正仿宋_GBK" w:cs="Times New Roman"/>
                <w:i w:val="0"/>
                <w:color w:val="000000"/>
                <w:kern w:val="0"/>
                <w:sz w:val="18"/>
                <w:szCs w:val="18"/>
                <w:u w:val="none"/>
                <w:lang w:val="en-US" w:eastAsia="zh-CN" w:bidi="ar"/>
              </w:rPr>
              <w:t>争取市级以上专项资金投资额</w:t>
            </w:r>
          </w:p>
        </w:tc>
        <w:tc>
          <w:tcPr>
            <w:tcW w:w="10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方正仿宋_GBK" w:cs="Times New Roman"/>
                <w:color w:val="000000"/>
                <w:sz w:val="18"/>
                <w:szCs w:val="18"/>
                <w:lang w:val="en-US"/>
              </w:rPr>
            </w:pPr>
            <w:r>
              <w:rPr>
                <w:rFonts w:hint="default" w:ascii="Times New Roman" w:hAnsi="Times New Roman" w:eastAsia="方正仿宋_GBK" w:cs="Times New Roman"/>
                <w:i w:val="0"/>
                <w:color w:val="000000"/>
                <w:kern w:val="0"/>
                <w:sz w:val="18"/>
                <w:szCs w:val="18"/>
                <w:u w:val="none"/>
                <w:lang w:val="en-US" w:eastAsia="zh-CN" w:bidi="ar"/>
              </w:rPr>
              <w:t>亿元</w:t>
            </w:r>
          </w:p>
        </w:tc>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color w:val="000000"/>
                <w:kern w:val="0"/>
                <w:sz w:val="18"/>
                <w:szCs w:val="18"/>
                <w:u w:val="none"/>
                <w:lang w:val="en-US" w:eastAsia="zh-CN" w:bidi="ar"/>
              </w:rPr>
              <w:t>≥</w:t>
            </w:r>
          </w:p>
        </w:tc>
        <w:tc>
          <w:tcPr>
            <w:tcW w:w="7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方正仿宋_GBK" w:cs="Times New Roman"/>
                <w:color w:val="000000"/>
                <w:sz w:val="18"/>
                <w:szCs w:val="18"/>
                <w:lang w:val="en-US"/>
              </w:rPr>
            </w:pPr>
            <w:r>
              <w:rPr>
                <w:rFonts w:hint="default" w:ascii="Times New Roman" w:hAnsi="Times New Roman" w:eastAsia="方正仿宋_GBK" w:cs="Times New Roman"/>
                <w:i w:val="0"/>
                <w:color w:val="000000"/>
                <w:kern w:val="0"/>
                <w:sz w:val="18"/>
                <w:szCs w:val="18"/>
                <w:u w:val="none"/>
                <w:lang w:val="en-US" w:eastAsia="zh-CN" w:bidi="ar"/>
              </w:rPr>
              <w:t>5</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方正仿宋_GBK" w:cs="Times New Roman"/>
                <w:color w:val="000000"/>
                <w:sz w:val="18"/>
                <w:szCs w:val="18"/>
                <w:lang w:val="en-US"/>
              </w:rPr>
            </w:pPr>
            <w:r>
              <w:rPr>
                <w:rFonts w:hint="default" w:ascii="Times New Roman" w:hAnsi="Times New Roman" w:eastAsia="方正仿宋_GBK" w:cs="Times New Roman"/>
                <w:i w:val="0"/>
                <w:color w:val="000000"/>
                <w:kern w:val="0"/>
                <w:sz w:val="18"/>
                <w:szCs w:val="18"/>
                <w:u w:val="none"/>
                <w:lang w:val="en-US" w:eastAsia="zh-CN" w:bidi="ar"/>
              </w:rPr>
              <w:t>30</w:t>
            </w:r>
          </w:p>
        </w:tc>
        <w:tc>
          <w:tcPr>
            <w:tcW w:w="8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方正仿宋_GBK" w:cs="Times New Roman"/>
                <w:color w:val="000000"/>
                <w:sz w:val="18"/>
                <w:szCs w:val="18"/>
                <w:lang w:val="en-US"/>
              </w:rPr>
            </w:pPr>
            <w:r>
              <w:rPr>
                <w:rFonts w:hint="default" w:ascii="Times New Roman" w:hAnsi="Times New Roman" w:eastAsia="方正仿宋_GBK" w:cs="Times New Roman"/>
                <w:i w:val="0"/>
                <w:color w:val="000000"/>
                <w:kern w:val="0"/>
                <w:sz w:val="18"/>
                <w:szCs w:val="18"/>
                <w:u w:val="none"/>
                <w:lang w:val="en-US" w:eastAsia="zh-CN" w:bidi="ar"/>
              </w:rPr>
              <w:t>7.19</w:t>
            </w:r>
          </w:p>
        </w:tc>
        <w:tc>
          <w:tcPr>
            <w:tcW w:w="10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方正仿宋_GBK" w:cs="Times New Roman"/>
                <w:color w:val="000000"/>
                <w:sz w:val="18"/>
                <w:szCs w:val="18"/>
                <w:lang w:val="en-US"/>
              </w:rPr>
            </w:pPr>
            <w:r>
              <w:rPr>
                <w:rFonts w:hint="default" w:ascii="Times New Roman" w:hAnsi="Times New Roman" w:eastAsia="方正仿宋_GBK" w:cs="Times New Roman"/>
                <w:i w:val="0"/>
                <w:color w:val="000000"/>
                <w:kern w:val="0"/>
                <w:sz w:val="18"/>
                <w:szCs w:val="18"/>
                <w:u w:val="none"/>
                <w:lang w:val="en-US" w:eastAsia="zh-CN" w:bidi="ar"/>
              </w:rPr>
              <w:t>30</w:t>
            </w:r>
          </w:p>
        </w:tc>
        <w:tc>
          <w:tcPr>
            <w:tcW w:w="149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outlineLvl w:val="9"/>
              <w:rPr>
                <w:rFonts w:hint="default" w:ascii="Times New Roman" w:hAnsi="Times New Roman" w:eastAsia="方正仿宋_GBK" w:cs="Times New Roman"/>
                <w:color w:val="000000"/>
                <w:sz w:val="18"/>
                <w:szCs w:val="18"/>
              </w:rPr>
            </w:pPr>
          </w:p>
        </w:tc>
      </w:tr>
    </w:tbl>
    <w:tbl>
      <w:tblPr>
        <w:tblStyle w:val="10"/>
        <w:tblpPr w:leftFromText="180" w:rightFromText="180" w:vertAnchor="text" w:horzAnchor="page" w:tblpXSpec="center" w:tblpY="274"/>
        <w:tblOverlap w:val="never"/>
        <w:tblW w:w="9760" w:type="dxa"/>
        <w:jc w:val="center"/>
        <w:tblInd w:w="0" w:type="dxa"/>
        <w:tblLayout w:type="fixed"/>
        <w:tblCellMar>
          <w:top w:w="0" w:type="dxa"/>
          <w:left w:w="108" w:type="dxa"/>
          <w:bottom w:w="0" w:type="dxa"/>
          <w:right w:w="108" w:type="dxa"/>
        </w:tblCellMar>
      </w:tblPr>
      <w:tblGrid>
        <w:gridCol w:w="663"/>
        <w:gridCol w:w="1157"/>
        <w:gridCol w:w="1447"/>
        <w:gridCol w:w="636"/>
        <w:gridCol w:w="897"/>
        <w:gridCol w:w="781"/>
        <w:gridCol w:w="695"/>
        <w:gridCol w:w="911"/>
        <w:gridCol w:w="665"/>
        <w:gridCol w:w="509"/>
        <w:gridCol w:w="1399"/>
      </w:tblGrid>
      <w:tr>
        <w:tblPrEx>
          <w:tblLayout w:type="fixed"/>
          <w:tblCellMar>
            <w:top w:w="0" w:type="dxa"/>
            <w:left w:w="108" w:type="dxa"/>
            <w:bottom w:w="0" w:type="dxa"/>
            <w:right w:w="108" w:type="dxa"/>
          </w:tblCellMar>
        </w:tblPrEx>
        <w:trPr>
          <w:trHeight w:val="1266" w:hRule="atLeast"/>
          <w:jc w:val="center"/>
        </w:trPr>
        <w:tc>
          <w:tcPr>
            <w:tcW w:w="9760" w:type="dxa"/>
            <w:gridSpan w:val="11"/>
            <w:tcBorders>
              <w:top w:val="nil"/>
              <w:left w:val="nil"/>
              <w:bottom w:val="single" w:color="000000" w:sz="4" w:space="0"/>
              <w:right w:val="nil"/>
            </w:tcBorders>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center"/>
              <w:outlineLvl w:val="9"/>
              <w:rPr>
                <w:rFonts w:hint="default" w:ascii="Times New Roman" w:hAnsi="Times New Roman" w:eastAsia="方正小标宋_GBK" w:cs="Times New Roman"/>
                <w:color w:val="000000"/>
                <w:kern w:val="0"/>
                <w:sz w:val="36"/>
                <w:szCs w:val="36"/>
                <w:lang w:val="en-US" w:eastAsia="zh-CN" w:bidi="ar"/>
              </w:rPr>
            </w:pPr>
            <w:r>
              <w:rPr>
                <w:rFonts w:hint="default" w:ascii="Times New Roman" w:hAnsi="Times New Roman" w:eastAsia="方正小标宋_GBK" w:cs="Times New Roman"/>
                <w:color w:val="000000"/>
                <w:kern w:val="0"/>
                <w:sz w:val="36"/>
                <w:szCs w:val="36"/>
                <w:lang w:val="en-US" w:eastAsia="zh-CN" w:bidi="ar"/>
              </w:rPr>
              <w:t>秀山土家族苗族自治县发展和改革委员会</w:t>
            </w:r>
          </w:p>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center"/>
              <w:outlineLvl w:val="9"/>
              <w:rPr>
                <w:rFonts w:hint="default" w:ascii="Times New Roman" w:hAnsi="Times New Roman" w:eastAsia="方正小标宋_GBK" w:cs="Times New Roman"/>
                <w:color w:val="000000"/>
                <w:kern w:val="0"/>
                <w:sz w:val="36"/>
                <w:szCs w:val="36"/>
                <w:lang w:bidi="ar"/>
              </w:rPr>
            </w:pPr>
            <w:r>
              <w:rPr>
                <w:rFonts w:hint="default" w:ascii="Times New Roman" w:hAnsi="Times New Roman" w:eastAsia="方正小标宋_GBK" w:cs="Times New Roman"/>
                <w:color w:val="000000"/>
                <w:kern w:val="0"/>
                <w:sz w:val="36"/>
                <w:szCs w:val="36"/>
                <w:lang w:bidi="ar"/>
              </w:rPr>
              <w:t>202</w:t>
            </w:r>
            <w:r>
              <w:rPr>
                <w:rFonts w:hint="default" w:ascii="Times New Roman" w:hAnsi="Times New Roman" w:eastAsia="方正小标宋_GBK" w:cs="Times New Roman"/>
                <w:color w:val="000000"/>
                <w:kern w:val="0"/>
                <w:sz w:val="36"/>
                <w:szCs w:val="36"/>
                <w:lang w:val="en-US" w:eastAsia="zh-CN" w:bidi="ar"/>
              </w:rPr>
              <w:t>3</w:t>
            </w:r>
            <w:r>
              <w:rPr>
                <w:rFonts w:hint="default" w:ascii="Times New Roman" w:hAnsi="Times New Roman" w:eastAsia="方正小标宋_GBK" w:cs="Times New Roman"/>
                <w:color w:val="000000"/>
                <w:kern w:val="0"/>
                <w:sz w:val="36"/>
                <w:szCs w:val="36"/>
                <w:lang w:bidi="ar"/>
              </w:rPr>
              <w:t>年度项目支出绩效自评表</w:t>
            </w:r>
          </w:p>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center"/>
              <w:outlineLvl w:val="9"/>
              <w:rPr>
                <w:rFonts w:hint="default" w:ascii="Times New Roman" w:hAnsi="Times New Roman" w:eastAsia="方正小标宋_GBK" w:cs="Times New Roman"/>
                <w:color w:val="000000"/>
                <w:sz w:val="36"/>
                <w:szCs w:val="36"/>
                <w:lang w:eastAsia="zh-CN"/>
              </w:rPr>
            </w:pPr>
            <w:r>
              <w:rPr>
                <w:rFonts w:hint="default" w:ascii="Times New Roman" w:hAnsi="Times New Roman" w:eastAsia="方正小标宋_GBK" w:cs="Times New Roman"/>
                <w:color w:val="000000"/>
                <w:kern w:val="0"/>
                <w:sz w:val="36"/>
                <w:szCs w:val="36"/>
                <w:lang w:eastAsia="zh-CN" w:bidi="ar"/>
              </w:rPr>
              <w:t>（二级项目）</w:t>
            </w:r>
          </w:p>
        </w:tc>
      </w:tr>
      <w:tr>
        <w:tblPrEx>
          <w:tblLayout w:type="fixed"/>
          <w:tblCellMar>
            <w:top w:w="0" w:type="dxa"/>
            <w:left w:w="108" w:type="dxa"/>
            <w:bottom w:w="0" w:type="dxa"/>
            <w:right w:w="108" w:type="dxa"/>
          </w:tblCellMar>
        </w:tblPrEx>
        <w:trPr>
          <w:trHeight w:val="1276" w:hRule="atLeast"/>
          <w:jc w:val="center"/>
        </w:trPr>
        <w:tc>
          <w:tcPr>
            <w:tcW w:w="66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60" w:lineRule="exact"/>
              <w:ind w:firstLine="0" w:firstLineChars="0"/>
              <w:jc w:val="center"/>
              <w:textAlignment w:val="center"/>
              <w:outlineLvl w:val="9"/>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序号</w:t>
            </w:r>
          </w:p>
        </w:tc>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60" w:lineRule="exact"/>
              <w:ind w:firstLine="0" w:firstLineChars="0"/>
              <w:jc w:val="center"/>
              <w:textAlignment w:val="center"/>
              <w:outlineLvl w:val="9"/>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项目名称</w:t>
            </w:r>
          </w:p>
        </w:tc>
        <w:tc>
          <w:tcPr>
            <w:tcW w:w="144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60" w:lineRule="exact"/>
              <w:ind w:firstLine="0" w:firstLineChars="0"/>
              <w:jc w:val="center"/>
              <w:textAlignment w:val="center"/>
              <w:outlineLvl w:val="9"/>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指标名称</w:t>
            </w:r>
          </w:p>
        </w:tc>
        <w:tc>
          <w:tcPr>
            <w:tcW w:w="6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60" w:lineRule="exact"/>
              <w:ind w:firstLine="0" w:firstLineChars="0"/>
              <w:jc w:val="center"/>
              <w:textAlignment w:val="center"/>
              <w:outlineLvl w:val="9"/>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指标性质</w:t>
            </w:r>
          </w:p>
        </w:tc>
        <w:tc>
          <w:tcPr>
            <w:tcW w:w="89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60" w:lineRule="exact"/>
              <w:ind w:firstLine="0" w:firstLineChars="0"/>
              <w:jc w:val="center"/>
              <w:textAlignment w:val="center"/>
              <w:outlineLvl w:val="9"/>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指标值</w:t>
            </w:r>
          </w:p>
        </w:tc>
        <w:tc>
          <w:tcPr>
            <w:tcW w:w="78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60" w:lineRule="exact"/>
              <w:ind w:firstLine="0" w:firstLineChars="0"/>
              <w:jc w:val="center"/>
              <w:textAlignment w:val="center"/>
              <w:outlineLvl w:val="9"/>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计量单位</w:t>
            </w:r>
          </w:p>
        </w:tc>
        <w:tc>
          <w:tcPr>
            <w:tcW w:w="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60" w:lineRule="exact"/>
              <w:ind w:firstLine="0" w:firstLineChars="0"/>
              <w:jc w:val="center"/>
              <w:textAlignment w:val="center"/>
              <w:outlineLvl w:val="9"/>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指标权重</w:t>
            </w:r>
          </w:p>
        </w:tc>
        <w:tc>
          <w:tcPr>
            <w:tcW w:w="9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60" w:lineRule="exact"/>
              <w:ind w:firstLine="0" w:firstLineChars="0"/>
              <w:jc w:val="center"/>
              <w:textAlignment w:val="center"/>
              <w:outlineLvl w:val="9"/>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全年完成值</w:t>
            </w:r>
          </w:p>
        </w:tc>
        <w:tc>
          <w:tcPr>
            <w:tcW w:w="6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60" w:lineRule="exact"/>
              <w:ind w:firstLine="0" w:firstLineChars="0"/>
              <w:jc w:val="center"/>
              <w:textAlignment w:val="center"/>
              <w:outlineLvl w:val="9"/>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指标得分</w:t>
            </w:r>
          </w:p>
        </w:tc>
        <w:tc>
          <w:tcPr>
            <w:tcW w:w="5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60" w:lineRule="exact"/>
              <w:ind w:firstLine="0" w:firstLineChars="0"/>
              <w:jc w:val="center"/>
              <w:textAlignment w:val="center"/>
              <w:outlineLvl w:val="9"/>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说明</w:t>
            </w:r>
          </w:p>
        </w:tc>
        <w:tc>
          <w:tcPr>
            <w:tcW w:w="139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60" w:lineRule="exact"/>
              <w:ind w:firstLine="0" w:firstLineChars="0"/>
              <w:jc w:val="center"/>
              <w:textAlignment w:val="center"/>
              <w:outlineLvl w:val="9"/>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自评得分</w:t>
            </w:r>
          </w:p>
        </w:tc>
      </w:tr>
      <w:tr>
        <w:tblPrEx>
          <w:tblLayout w:type="fixed"/>
          <w:tblCellMar>
            <w:top w:w="0" w:type="dxa"/>
            <w:left w:w="108" w:type="dxa"/>
            <w:bottom w:w="0" w:type="dxa"/>
            <w:right w:w="108" w:type="dxa"/>
          </w:tblCellMar>
        </w:tblPrEx>
        <w:trPr>
          <w:trHeight w:val="1490" w:hRule="atLeast"/>
          <w:jc w:val="center"/>
        </w:trPr>
        <w:tc>
          <w:tcPr>
            <w:tcW w:w="663"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60" w:lineRule="exact"/>
              <w:ind w:firstLine="0" w:firstLineChars="0"/>
              <w:jc w:val="center"/>
              <w:textAlignment w:val="center"/>
              <w:outlineLvl w:val="9"/>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1</w:t>
            </w:r>
          </w:p>
        </w:tc>
        <w:tc>
          <w:tcPr>
            <w:tcW w:w="1157"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60" w:lineRule="exact"/>
              <w:ind w:firstLine="0" w:firstLineChars="0"/>
              <w:jc w:val="center"/>
              <w:outlineLvl w:val="9"/>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项目可行性研究报告(含节能)、概算评审经费</w:t>
            </w:r>
          </w:p>
        </w:tc>
        <w:tc>
          <w:tcPr>
            <w:tcW w:w="144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center"/>
              <w:textAlignment w:val="center"/>
              <w:outlineLvl w:val="9"/>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color w:val="000000"/>
                <w:kern w:val="0"/>
                <w:sz w:val="18"/>
                <w:szCs w:val="18"/>
                <w:u w:val="none"/>
                <w:lang w:val="en-US" w:eastAsia="zh-CN" w:bidi="ar"/>
              </w:rPr>
              <w:t>项目可行性研究报告（含节能）概算评审数量</w:t>
            </w:r>
          </w:p>
        </w:tc>
        <w:tc>
          <w:tcPr>
            <w:tcW w:w="6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center"/>
              <w:textAlignment w:val="center"/>
              <w:outlineLvl w:val="9"/>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color w:val="000000"/>
                <w:kern w:val="0"/>
                <w:sz w:val="18"/>
                <w:szCs w:val="18"/>
                <w:u w:val="none"/>
                <w:lang w:val="en-US" w:eastAsia="zh-CN" w:bidi="ar"/>
              </w:rPr>
              <w:t>≥</w:t>
            </w:r>
          </w:p>
        </w:tc>
        <w:tc>
          <w:tcPr>
            <w:tcW w:w="89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center"/>
              <w:textAlignment w:val="center"/>
              <w:outlineLvl w:val="9"/>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color w:val="000000"/>
                <w:kern w:val="0"/>
                <w:sz w:val="18"/>
                <w:szCs w:val="18"/>
                <w:u w:val="none"/>
                <w:lang w:val="en-US" w:eastAsia="zh-CN" w:bidi="ar"/>
              </w:rPr>
              <w:t>100</w:t>
            </w:r>
          </w:p>
        </w:tc>
        <w:tc>
          <w:tcPr>
            <w:tcW w:w="78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center"/>
              <w:textAlignment w:val="center"/>
              <w:outlineLvl w:val="9"/>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color w:val="000000"/>
                <w:kern w:val="0"/>
                <w:sz w:val="18"/>
                <w:szCs w:val="18"/>
                <w:u w:val="none"/>
                <w:lang w:val="en-US" w:eastAsia="zh-CN" w:bidi="ar"/>
              </w:rPr>
              <w:t>个</w:t>
            </w:r>
          </w:p>
        </w:tc>
        <w:tc>
          <w:tcPr>
            <w:tcW w:w="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center"/>
              <w:textAlignment w:val="center"/>
              <w:outlineLvl w:val="9"/>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color w:val="000000"/>
                <w:kern w:val="0"/>
                <w:sz w:val="18"/>
                <w:szCs w:val="18"/>
                <w:u w:val="none"/>
                <w:lang w:val="en-US" w:eastAsia="zh-CN" w:bidi="ar"/>
              </w:rPr>
              <w:t>30</w:t>
            </w:r>
          </w:p>
        </w:tc>
        <w:tc>
          <w:tcPr>
            <w:tcW w:w="9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center"/>
              <w:textAlignment w:val="center"/>
              <w:outlineLvl w:val="9"/>
              <w:rPr>
                <w:rFonts w:hint="default" w:ascii="Times New Roman" w:hAnsi="Times New Roman" w:eastAsia="方正仿宋_GBK" w:cs="Times New Roman"/>
                <w:color w:val="000000"/>
                <w:sz w:val="18"/>
                <w:szCs w:val="18"/>
                <w:lang w:val="en-US"/>
              </w:rPr>
            </w:pPr>
            <w:r>
              <w:rPr>
                <w:rFonts w:hint="default" w:ascii="Times New Roman" w:hAnsi="Times New Roman" w:eastAsia="方正仿宋_GBK" w:cs="Times New Roman"/>
                <w:i w:val="0"/>
                <w:color w:val="000000"/>
                <w:kern w:val="0"/>
                <w:sz w:val="18"/>
                <w:szCs w:val="18"/>
                <w:u w:val="none"/>
                <w:lang w:val="en-US" w:eastAsia="zh-CN" w:bidi="ar"/>
              </w:rPr>
              <w:t>126</w:t>
            </w:r>
          </w:p>
        </w:tc>
        <w:tc>
          <w:tcPr>
            <w:tcW w:w="6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center"/>
              <w:textAlignment w:val="center"/>
              <w:outlineLvl w:val="9"/>
              <w:rPr>
                <w:rFonts w:hint="default" w:ascii="Times New Roman" w:hAnsi="Times New Roman" w:eastAsia="方正仿宋_GBK" w:cs="Times New Roman"/>
                <w:color w:val="000000"/>
                <w:sz w:val="18"/>
                <w:szCs w:val="18"/>
                <w:lang w:val="en-US"/>
              </w:rPr>
            </w:pPr>
            <w:r>
              <w:rPr>
                <w:rFonts w:hint="default" w:ascii="Times New Roman" w:hAnsi="Times New Roman" w:eastAsia="方正仿宋_GBK" w:cs="Times New Roman"/>
                <w:i w:val="0"/>
                <w:color w:val="000000"/>
                <w:kern w:val="0"/>
                <w:sz w:val="18"/>
                <w:szCs w:val="18"/>
                <w:u w:val="none"/>
                <w:lang w:val="en-US" w:eastAsia="zh-CN" w:bidi="ar"/>
              </w:rPr>
              <w:t>30</w:t>
            </w:r>
          </w:p>
        </w:tc>
        <w:tc>
          <w:tcPr>
            <w:tcW w:w="5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60" w:lineRule="exact"/>
              <w:ind w:firstLine="0" w:firstLineChars="0"/>
              <w:jc w:val="center"/>
              <w:outlineLvl w:val="9"/>
              <w:rPr>
                <w:rFonts w:hint="default" w:ascii="Times New Roman" w:hAnsi="Times New Roman" w:eastAsia="方正仿宋_GBK" w:cs="Times New Roman"/>
                <w:color w:val="000000"/>
                <w:sz w:val="18"/>
                <w:szCs w:val="18"/>
              </w:rPr>
            </w:pPr>
          </w:p>
        </w:tc>
        <w:tc>
          <w:tcPr>
            <w:tcW w:w="1399"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60" w:lineRule="exact"/>
              <w:ind w:firstLine="0" w:firstLineChars="0"/>
              <w:jc w:val="center"/>
              <w:outlineLvl w:val="9"/>
              <w:rPr>
                <w:rFonts w:hint="default" w:ascii="Times New Roman" w:hAnsi="Times New Roman" w:eastAsia="方正仿宋_GBK" w:cs="Times New Roman"/>
                <w:color w:val="000000"/>
                <w:sz w:val="18"/>
                <w:szCs w:val="18"/>
                <w:lang w:val="en-US" w:eastAsia="zh-CN"/>
              </w:rPr>
            </w:pPr>
            <w:r>
              <w:rPr>
                <w:rFonts w:hint="default" w:ascii="Times New Roman" w:hAnsi="Times New Roman" w:eastAsia="方正仿宋_GBK" w:cs="Times New Roman"/>
                <w:color w:val="000000"/>
                <w:sz w:val="18"/>
                <w:szCs w:val="18"/>
                <w:lang w:val="en-US" w:eastAsia="zh-CN"/>
              </w:rPr>
              <w:t>100</w:t>
            </w:r>
          </w:p>
        </w:tc>
      </w:tr>
      <w:tr>
        <w:tblPrEx>
          <w:tblLayout w:type="fixed"/>
          <w:tblCellMar>
            <w:top w:w="0" w:type="dxa"/>
            <w:left w:w="108" w:type="dxa"/>
            <w:bottom w:w="0" w:type="dxa"/>
            <w:right w:w="108" w:type="dxa"/>
          </w:tblCellMar>
        </w:tblPrEx>
        <w:trPr>
          <w:trHeight w:val="670" w:hRule="atLeast"/>
          <w:jc w:val="center"/>
        </w:trPr>
        <w:tc>
          <w:tcPr>
            <w:tcW w:w="663"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60" w:lineRule="exact"/>
              <w:ind w:firstLine="0" w:firstLineChars="0"/>
              <w:jc w:val="center"/>
              <w:textAlignment w:val="center"/>
              <w:outlineLvl w:val="9"/>
              <w:rPr>
                <w:rFonts w:hint="default" w:ascii="Times New Roman" w:hAnsi="Times New Roman" w:eastAsia="方正仿宋_GBK" w:cs="Times New Roman"/>
                <w:color w:val="000000"/>
                <w:sz w:val="18"/>
                <w:szCs w:val="18"/>
              </w:rPr>
            </w:pPr>
          </w:p>
        </w:tc>
        <w:tc>
          <w:tcPr>
            <w:tcW w:w="1157"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60" w:lineRule="exact"/>
              <w:ind w:firstLine="0" w:firstLineChars="0"/>
              <w:jc w:val="center"/>
              <w:outlineLvl w:val="9"/>
              <w:rPr>
                <w:rFonts w:hint="default" w:ascii="Times New Roman" w:hAnsi="Times New Roman" w:eastAsia="方正仿宋_GBK" w:cs="Times New Roman"/>
                <w:color w:val="000000"/>
                <w:sz w:val="18"/>
                <w:szCs w:val="18"/>
              </w:rPr>
            </w:pPr>
          </w:p>
        </w:tc>
        <w:tc>
          <w:tcPr>
            <w:tcW w:w="144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center"/>
              <w:textAlignment w:val="center"/>
              <w:outlineLvl w:val="9"/>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color w:val="000000"/>
                <w:kern w:val="0"/>
                <w:sz w:val="18"/>
                <w:szCs w:val="18"/>
                <w:u w:val="none"/>
                <w:lang w:val="en-US" w:eastAsia="zh-CN" w:bidi="ar"/>
              </w:rPr>
              <w:t>服务质量达标率</w:t>
            </w:r>
          </w:p>
        </w:tc>
        <w:tc>
          <w:tcPr>
            <w:tcW w:w="6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center"/>
              <w:textAlignment w:val="center"/>
              <w:outlineLvl w:val="9"/>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color w:val="000000"/>
                <w:kern w:val="0"/>
                <w:sz w:val="18"/>
                <w:szCs w:val="18"/>
                <w:u w:val="none"/>
                <w:lang w:val="en-US" w:eastAsia="zh-CN" w:bidi="ar"/>
              </w:rPr>
              <w:t>≥</w:t>
            </w:r>
          </w:p>
        </w:tc>
        <w:tc>
          <w:tcPr>
            <w:tcW w:w="89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center"/>
              <w:textAlignment w:val="center"/>
              <w:outlineLvl w:val="9"/>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color w:val="000000"/>
                <w:kern w:val="0"/>
                <w:sz w:val="18"/>
                <w:szCs w:val="18"/>
                <w:u w:val="none"/>
                <w:lang w:val="en-US" w:eastAsia="zh-CN" w:bidi="ar"/>
              </w:rPr>
              <w:t>95</w:t>
            </w:r>
          </w:p>
        </w:tc>
        <w:tc>
          <w:tcPr>
            <w:tcW w:w="78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center"/>
              <w:textAlignment w:val="center"/>
              <w:outlineLvl w:val="9"/>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color w:val="000000"/>
                <w:kern w:val="0"/>
                <w:sz w:val="18"/>
                <w:szCs w:val="18"/>
                <w:u w:val="none"/>
                <w:lang w:val="en-US" w:eastAsia="zh-CN" w:bidi="ar"/>
              </w:rPr>
              <w:t>%</w:t>
            </w:r>
          </w:p>
        </w:tc>
        <w:tc>
          <w:tcPr>
            <w:tcW w:w="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center"/>
              <w:textAlignment w:val="center"/>
              <w:outlineLvl w:val="9"/>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sz w:val="18"/>
                <w:szCs w:val="18"/>
                <w:lang w:val="en-US" w:eastAsia="zh-CN"/>
              </w:rPr>
              <w:t>30</w:t>
            </w:r>
          </w:p>
        </w:tc>
        <w:tc>
          <w:tcPr>
            <w:tcW w:w="9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center"/>
              <w:textAlignment w:val="center"/>
              <w:outlineLvl w:val="9"/>
              <w:rPr>
                <w:rFonts w:hint="default" w:ascii="Times New Roman" w:hAnsi="Times New Roman" w:eastAsia="方正仿宋_GBK" w:cs="Times New Roman"/>
                <w:color w:val="000000"/>
                <w:sz w:val="18"/>
                <w:szCs w:val="18"/>
                <w:lang w:val="en-US"/>
              </w:rPr>
            </w:pPr>
            <w:r>
              <w:rPr>
                <w:rFonts w:hint="default" w:ascii="Times New Roman" w:hAnsi="Times New Roman" w:eastAsia="方正仿宋_GBK" w:cs="Times New Roman"/>
                <w:i w:val="0"/>
                <w:color w:val="000000"/>
                <w:kern w:val="0"/>
                <w:sz w:val="18"/>
                <w:szCs w:val="18"/>
                <w:u w:val="none"/>
                <w:lang w:val="en-US" w:eastAsia="zh-CN" w:bidi="ar"/>
              </w:rPr>
              <w:t>100</w:t>
            </w:r>
          </w:p>
        </w:tc>
        <w:tc>
          <w:tcPr>
            <w:tcW w:w="6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center"/>
              <w:textAlignment w:val="center"/>
              <w:outlineLvl w:val="9"/>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color w:val="000000"/>
                <w:kern w:val="0"/>
                <w:sz w:val="18"/>
                <w:szCs w:val="18"/>
                <w:u w:val="none"/>
                <w:lang w:val="en-US" w:eastAsia="zh-CN" w:bidi="ar"/>
              </w:rPr>
              <w:t>30</w:t>
            </w:r>
          </w:p>
        </w:tc>
        <w:tc>
          <w:tcPr>
            <w:tcW w:w="5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60" w:lineRule="exact"/>
              <w:ind w:firstLine="0" w:firstLineChars="0"/>
              <w:jc w:val="center"/>
              <w:outlineLvl w:val="9"/>
              <w:rPr>
                <w:rFonts w:hint="default" w:ascii="Times New Roman" w:hAnsi="Times New Roman" w:eastAsia="方正仿宋_GBK" w:cs="Times New Roman"/>
                <w:color w:val="000000"/>
                <w:sz w:val="18"/>
                <w:szCs w:val="18"/>
              </w:rPr>
            </w:pPr>
          </w:p>
        </w:tc>
        <w:tc>
          <w:tcPr>
            <w:tcW w:w="1399"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60" w:lineRule="exact"/>
              <w:ind w:firstLine="0" w:firstLineChars="0"/>
              <w:jc w:val="center"/>
              <w:outlineLvl w:val="9"/>
              <w:rPr>
                <w:rFonts w:hint="default" w:ascii="Times New Roman" w:hAnsi="Times New Roman" w:eastAsia="方正仿宋_GBK" w:cs="Times New Roman"/>
                <w:color w:val="000000"/>
                <w:sz w:val="18"/>
                <w:szCs w:val="18"/>
              </w:rPr>
            </w:pPr>
          </w:p>
        </w:tc>
      </w:tr>
      <w:tr>
        <w:tblPrEx>
          <w:tblLayout w:type="fixed"/>
          <w:tblCellMar>
            <w:top w:w="0" w:type="dxa"/>
            <w:left w:w="108" w:type="dxa"/>
            <w:bottom w:w="0" w:type="dxa"/>
            <w:right w:w="108" w:type="dxa"/>
          </w:tblCellMar>
        </w:tblPrEx>
        <w:trPr>
          <w:trHeight w:val="655" w:hRule="atLeast"/>
          <w:jc w:val="center"/>
        </w:trPr>
        <w:tc>
          <w:tcPr>
            <w:tcW w:w="663"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60" w:lineRule="exact"/>
              <w:ind w:firstLine="0" w:firstLineChars="0"/>
              <w:jc w:val="center"/>
              <w:textAlignment w:val="center"/>
              <w:outlineLvl w:val="9"/>
              <w:rPr>
                <w:rFonts w:hint="default" w:ascii="Times New Roman" w:hAnsi="Times New Roman" w:eastAsia="方正仿宋_GBK" w:cs="Times New Roman"/>
                <w:color w:val="000000"/>
                <w:sz w:val="18"/>
                <w:szCs w:val="18"/>
              </w:rPr>
            </w:pPr>
          </w:p>
        </w:tc>
        <w:tc>
          <w:tcPr>
            <w:tcW w:w="1157"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60" w:lineRule="exact"/>
              <w:ind w:firstLine="0" w:firstLineChars="0"/>
              <w:jc w:val="center"/>
              <w:outlineLvl w:val="9"/>
              <w:rPr>
                <w:rFonts w:hint="default" w:ascii="Times New Roman" w:hAnsi="Times New Roman" w:eastAsia="方正仿宋_GBK" w:cs="Times New Roman"/>
                <w:color w:val="000000"/>
                <w:sz w:val="18"/>
                <w:szCs w:val="18"/>
              </w:rPr>
            </w:pPr>
          </w:p>
        </w:tc>
        <w:tc>
          <w:tcPr>
            <w:tcW w:w="144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center"/>
              <w:textAlignment w:val="center"/>
              <w:outlineLvl w:val="9"/>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sz w:val="18"/>
                <w:szCs w:val="18"/>
              </w:rPr>
              <w:t>成果利用率</w:t>
            </w:r>
          </w:p>
        </w:tc>
        <w:tc>
          <w:tcPr>
            <w:tcW w:w="6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center"/>
              <w:textAlignment w:val="center"/>
              <w:outlineLvl w:val="9"/>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color w:val="000000"/>
                <w:kern w:val="0"/>
                <w:sz w:val="18"/>
                <w:szCs w:val="18"/>
                <w:u w:val="none"/>
                <w:lang w:val="en-US" w:eastAsia="zh-CN" w:bidi="ar"/>
              </w:rPr>
              <w:t>≥</w:t>
            </w:r>
          </w:p>
        </w:tc>
        <w:tc>
          <w:tcPr>
            <w:tcW w:w="89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center"/>
              <w:textAlignment w:val="center"/>
              <w:outlineLvl w:val="9"/>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color w:val="000000"/>
                <w:kern w:val="0"/>
                <w:sz w:val="18"/>
                <w:szCs w:val="18"/>
                <w:u w:val="none"/>
                <w:lang w:val="en-US" w:eastAsia="zh-CN" w:bidi="ar"/>
              </w:rPr>
              <w:t>90</w:t>
            </w:r>
          </w:p>
        </w:tc>
        <w:tc>
          <w:tcPr>
            <w:tcW w:w="78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center"/>
              <w:textAlignment w:val="center"/>
              <w:outlineLvl w:val="9"/>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color w:val="000000"/>
                <w:kern w:val="0"/>
                <w:sz w:val="18"/>
                <w:szCs w:val="18"/>
                <w:u w:val="none"/>
                <w:lang w:val="en-US" w:eastAsia="zh-CN" w:bidi="ar"/>
              </w:rPr>
              <w:t>%</w:t>
            </w:r>
          </w:p>
        </w:tc>
        <w:tc>
          <w:tcPr>
            <w:tcW w:w="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center"/>
              <w:textAlignment w:val="center"/>
              <w:outlineLvl w:val="9"/>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color w:val="000000"/>
                <w:kern w:val="0"/>
                <w:sz w:val="18"/>
                <w:szCs w:val="18"/>
                <w:u w:val="none"/>
                <w:lang w:val="en-US" w:eastAsia="zh-CN" w:bidi="ar"/>
              </w:rPr>
              <w:t>30</w:t>
            </w:r>
          </w:p>
        </w:tc>
        <w:tc>
          <w:tcPr>
            <w:tcW w:w="9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center"/>
              <w:textAlignment w:val="center"/>
              <w:outlineLvl w:val="9"/>
              <w:rPr>
                <w:rFonts w:hint="default" w:ascii="Times New Roman" w:hAnsi="Times New Roman" w:eastAsia="方正仿宋_GBK" w:cs="Times New Roman"/>
                <w:color w:val="000000"/>
                <w:sz w:val="18"/>
                <w:szCs w:val="18"/>
                <w:lang w:val="en-US"/>
              </w:rPr>
            </w:pPr>
            <w:r>
              <w:rPr>
                <w:rFonts w:hint="default" w:ascii="Times New Roman" w:hAnsi="Times New Roman" w:eastAsia="方正仿宋_GBK" w:cs="Times New Roman"/>
                <w:i w:val="0"/>
                <w:color w:val="000000"/>
                <w:kern w:val="0"/>
                <w:sz w:val="18"/>
                <w:szCs w:val="18"/>
                <w:u w:val="none"/>
                <w:lang w:val="en-US" w:eastAsia="zh-CN" w:bidi="ar"/>
              </w:rPr>
              <w:t>95</w:t>
            </w:r>
          </w:p>
        </w:tc>
        <w:tc>
          <w:tcPr>
            <w:tcW w:w="6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center"/>
              <w:textAlignment w:val="center"/>
              <w:outlineLvl w:val="9"/>
              <w:rPr>
                <w:rFonts w:hint="default" w:ascii="Times New Roman" w:hAnsi="Times New Roman" w:eastAsia="方正仿宋_GBK" w:cs="Times New Roman"/>
                <w:color w:val="000000"/>
                <w:sz w:val="18"/>
                <w:szCs w:val="18"/>
                <w:lang w:val="en-US"/>
              </w:rPr>
            </w:pPr>
            <w:r>
              <w:rPr>
                <w:rFonts w:hint="default" w:ascii="Times New Roman" w:hAnsi="Times New Roman" w:eastAsia="方正仿宋_GBK" w:cs="Times New Roman"/>
                <w:i w:val="0"/>
                <w:color w:val="000000"/>
                <w:kern w:val="0"/>
                <w:sz w:val="18"/>
                <w:szCs w:val="18"/>
                <w:u w:val="none"/>
                <w:lang w:val="en-US" w:eastAsia="zh-CN" w:bidi="ar"/>
              </w:rPr>
              <w:t>30</w:t>
            </w:r>
          </w:p>
        </w:tc>
        <w:tc>
          <w:tcPr>
            <w:tcW w:w="5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60" w:lineRule="exact"/>
              <w:ind w:firstLine="0" w:firstLineChars="0"/>
              <w:jc w:val="center"/>
              <w:outlineLvl w:val="9"/>
              <w:rPr>
                <w:rFonts w:hint="default" w:ascii="Times New Roman" w:hAnsi="Times New Roman" w:eastAsia="方正仿宋_GBK" w:cs="Times New Roman"/>
                <w:color w:val="000000"/>
                <w:sz w:val="18"/>
                <w:szCs w:val="18"/>
              </w:rPr>
            </w:pPr>
          </w:p>
        </w:tc>
        <w:tc>
          <w:tcPr>
            <w:tcW w:w="1399"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60" w:lineRule="exact"/>
              <w:ind w:firstLine="0" w:firstLineChars="0"/>
              <w:jc w:val="center"/>
              <w:outlineLvl w:val="9"/>
              <w:rPr>
                <w:rFonts w:hint="default" w:ascii="Times New Roman" w:hAnsi="Times New Roman" w:eastAsia="方正仿宋_GBK" w:cs="Times New Roman"/>
                <w:color w:val="000000"/>
                <w:sz w:val="18"/>
                <w:szCs w:val="18"/>
              </w:rPr>
            </w:pPr>
          </w:p>
        </w:tc>
      </w:tr>
      <w:tr>
        <w:tblPrEx>
          <w:tblLayout w:type="fixed"/>
          <w:tblCellMar>
            <w:top w:w="0" w:type="dxa"/>
            <w:left w:w="108" w:type="dxa"/>
            <w:bottom w:w="0" w:type="dxa"/>
            <w:right w:w="108" w:type="dxa"/>
          </w:tblCellMar>
        </w:tblPrEx>
        <w:trPr>
          <w:trHeight w:val="640" w:hRule="atLeast"/>
          <w:jc w:val="center"/>
        </w:trPr>
        <w:tc>
          <w:tcPr>
            <w:tcW w:w="663"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60" w:lineRule="exact"/>
              <w:ind w:firstLine="0" w:firstLineChars="0"/>
              <w:jc w:val="center"/>
              <w:textAlignment w:val="center"/>
              <w:outlineLvl w:val="9"/>
              <w:rPr>
                <w:rFonts w:hint="default" w:ascii="Times New Roman" w:hAnsi="Times New Roman" w:eastAsia="方正仿宋_GBK" w:cs="Times New Roman"/>
                <w:color w:val="000000"/>
                <w:sz w:val="18"/>
                <w:szCs w:val="18"/>
              </w:rPr>
            </w:pPr>
          </w:p>
        </w:tc>
        <w:tc>
          <w:tcPr>
            <w:tcW w:w="1157"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60" w:lineRule="exact"/>
              <w:ind w:firstLine="0" w:firstLineChars="0"/>
              <w:jc w:val="center"/>
              <w:outlineLvl w:val="9"/>
              <w:rPr>
                <w:rFonts w:hint="default" w:ascii="Times New Roman" w:hAnsi="Times New Roman" w:eastAsia="方正仿宋_GBK" w:cs="Times New Roman"/>
                <w:color w:val="000000"/>
                <w:sz w:val="18"/>
                <w:szCs w:val="18"/>
              </w:rPr>
            </w:pPr>
          </w:p>
        </w:tc>
        <w:tc>
          <w:tcPr>
            <w:tcW w:w="144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center"/>
              <w:textAlignment w:val="center"/>
              <w:outlineLvl w:val="9"/>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sz w:val="18"/>
                <w:szCs w:val="18"/>
                <w:lang w:val="en-US" w:eastAsia="zh-CN"/>
              </w:rPr>
              <w:t>预算执行率</w:t>
            </w:r>
          </w:p>
        </w:tc>
        <w:tc>
          <w:tcPr>
            <w:tcW w:w="6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center"/>
              <w:textAlignment w:val="center"/>
              <w:outlineLvl w:val="9"/>
              <w:rPr>
                <w:rFonts w:hint="default" w:ascii="Times New Roman" w:hAnsi="Times New Roman" w:eastAsia="方正仿宋_GBK" w:cs="Times New Roman"/>
                <w:color w:val="000000"/>
                <w:sz w:val="18"/>
                <w:szCs w:val="18"/>
                <w:lang w:eastAsia="zh-CN"/>
              </w:rPr>
            </w:pPr>
            <w:r>
              <w:rPr>
                <w:rFonts w:hint="default" w:ascii="Times New Roman" w:hAnsi="Times New Roman" w:eastAsia="方正仿宋_GBK" w:cs="Times New Roman"/>
                <w:sz w:val="18"/>
                <w:szCs w:val="18"/>
                <w:lang w:val="en-US" w:eastAsia="zh-CN"/>
              </w:rPr>
              <w:t>=</w:t>
            </w:r>
          </w:p>
        </w:tc>
        <w:tc>
          <w:tcPr>
            <w:tcW w:w="89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center"/>
              <w:textAlignment w:val="center"/>
              <w:outlineLvl w:val="9"/>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sz w:val="18"/>
                <w:szCs w:val="18"/>
                <w:lang w:val="en-US" w:eastAsia="zh-CN"/>
              </w:rPr>
              <w:t>100</w:t>
            </w:r>
          </w:p>
        </w:tc>
        <w:tc>
          <w:tcPr>
            <w:tcW w:w="78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center"/>
              <w:textAlignment w:val="center"/>
              <w:outlineLvl w:val="9"/>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sz w:val="18"/>
                <w:szCs w:val="18"/>
                <w:lang w:val="en-US" w:eastAsia="zh-CN"/>
              </w:rPr>
              <w:t>%</w:t>
            </w:r>
          </w:p>
        </w:tc>
        <w:tc>
          <w:tcPr>
            <w:tcW w:w="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center"/>
              <w:textAlignment w:val="center"/>
              <w:outlineLvl w:val="9"/>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sz w:val="18"/>
                <w:szCs w:val="18"/>
                <w:lang w:val="en-US" w:eastAsia="zh-CN"/>
              </w:rPr>
              <w:t>10</w:t>
            </w:r>
          </w:p>
        </w:tc>
        <w:tc>
          <w:tcPr>
            <w:tcW w:w="9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center"/>
              <w:textAlignment w:val="center"/>
              <w:outlineLvl w:val="9"/>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sz w:val="18"/>
                <w:szCs w:val="18"/>
                <w:lang w:val="en-US" w:eastAsia="zh-CN"/>
              </w:rPr>
              <w:t>100</w:t>
            </w:r>
          </w:p>
        </w:tc>
        <w:tc>
          <w:tcPr>
            <w:tcW w:w="6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center"/>
              <w:textAlignment w:val="center"/>
              <w:outlineLvl w:val="9"/>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sz w:val="18"/>
                <w:szCs w:val="18"/>
                <w:lang w:val="en-US" w:eastAsia="zh-CN"/>
              </w:rPr>
              <w:t>10</w:t>
            </w:r>
          </w:p>
        </w:tc>
        <w:tc>
          <w:tcPr>
            <w:tcW w:w="5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60" w:lineRule="exact"/>
              <w:ind w:firstLine="0" w:firstLineChars="0"/>
              <w:jc w:val="center"/>
              <w:outlineLvl w:val="9"/>
              <w:rPr>
                <w:rFonts w:hint="default" w:ascii="Times New Roman" w:hAnsi="Times New Roman" w:eastAsia="方正仿宋_GBK" w:cs="Times New Roman"/>
                <w:color w:val="000000"/>
                <w:sz w:val="18"/>
                <w:szCs w:val="18"/>
              </w:rPr>
            </w:pPr>
          </w:p>
        </w:tc>
        <w:tc>
          <w:tcPr>
            <w:tcW w:w="1399"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60" w:lineRule="exact"/>
              <w:ind w:firstLine="0" w:firstLineChars="0"/>
              <w:jc w:val="center"/>
              <w:outlineLvl w:val="9"/>
              <w:rPr>
                <w:rFonts w:hint="default" w:ascii="Times New Roman" w:hAnsi="Times New Roman" w:eastAsia="方正仿宋_GBK" w:cs="Times New Roman"/>
                <w:color w:val="000000"/>
                <w:sz w:val="18"/>
                <w:szCs w:val="18"/>
              </w:rPr>
            </w:pPr>
          </w:p>
        </w:tc>
      </w:tr>
      <w:tr>
        <w:tblPrEx>
          <w:tblLayout w:type="fixed"/>
          <w:tblCellMar>
            <w:top w:w="0" w:type="dxa"/>
            <w:left w:w="108" w:type="dxa"/>
            <w:bottom w:w="0" w:type="dxa"/>
            <w:right w:w="108" w:type="dxa"/>
          </w:tblCellMar>
        </w:tblPrEx>
        <w:trPr>
          <w:trHeight w:val="576" w:hRule="atLeast"/>
          <w:jc w:val="center"/>
        </w:trPr>
        <w:tc>
          <w:tcPr>
            <w:tcW w:w="663"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60" w:lineRule="exact"/>
              <w:ind w:firstLine="0" w:firstLineChars="0"/>
              <w:jc w:val="center"/>
              <w:textAlignment w:val="center"/>
              <w:outlineLvl w:val="9"/>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2</w:t>
            </w:r>
          </w:p>
        </w:tc>
        <w:tc>
          <w:tcPr>
            <w:tcW w:w="1157"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60" w:lineRule="exact"/>
              <w:ind w:firstLine="0" w:firstLineChars="0"/>
              <w:jc w:val="center"/>
              <w:outlineLvl w:val="9"/>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重点项目前期经费</w:t>
            </w:r>
          </w:p>
        </w:tc>
        <w:tc>
          <w:tcPr>
            <w:tcW w:w="144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center"/>
              <w:textAlignment w:val="center"/>
              <w:outlineLvl w:val="9"/>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sz w:val="18"/>
                <w:szCs w:val="18"/>
              </w:rPr>
              <w:t>支付项目个数</w:t>
            </w:r>
          </w:p>
        </w:tc>
        <w:tc>
          <w:tcPr>
            <w:tcW w:w="6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center"/>
              <w:textAlignment w:val="center"/>
              <w:outlineLvl w:val="9"/>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color w:val="000000"/>
                <w:kern w:val="0"/>
                <w:sz w:val="18"/>
                <w:szCs w:val="18"/>
                <w:u w:val="none"/>
                <w:lang w:val="en-US" w:eastAsia="zh-CN" w:bidi="ar"/>
              </w:rPr>
              <w:t>≥</w:t>
            </w:r>
          </w:p>
        </w:tc>
        <w:tc>
          <w:tcPr>
            <w:tcW w:w="89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center"/>
              <w:textAlignment w:val="center"/>
              <w:outlineLvl w:val="9"/>
              <w:rPr>
                <w:rFonts w:hint="default" w:ascii="Times New Roman" w:hAnsi="Times New Roman" w:eastAsia="方正仿宋_GBK" w:cs="Times New Roman"/>
                <w:color w:val="000000"/>
                <w:sz w:val="18"/>
                <w:szCs w:val="18"/>
                <w:lang w:val="en-US"/>
              </w:rPr>
            </w:pPr>
            <w:r>
              <w:rPr>
                <w:rFonts w:hint="default" w:ascii="Times New Roman" w:hAnsi="Times New Roman" w:eastAsia="方正仿宋_GBK" w:cs="Times New Roman"/>
                <w:i w:val="0"/>
                <w:color w:val="000000"/>
                <w:kern w:val="0"/>
                <w:sz w:val="18"/>
                <w:szCs w:val="18"/>
                <w:u w:val="none"/>
                <w:lang w:val="en-US" w:eastAsia="zh-CN" w:bidi="ar"/>
              </w:rPr>
              <w:t>1</w:t>
            </w:r>
          </w:p>
        </w:tc>
        <w:tc>
          <w:tcPr>
            <w:tcW w:w="78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center"/>
              <w:textAlignment w:val="center"/>
              <w:outlineLvl w:val="9"/>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color w:val="000000"/>
                <w:kern w:val="0"/>
                <w:sz w:val="18"/>
                <w:szCs w:val="18"/>
                <w:u w:val="none"/>
                <w:lang w:val="en-US" w:eastAsia="zh-CN" w:bidi="ar"/>
              </w:rPr>
              <w:t>个</w:t>
            </w:r>
          </w:p>
        </w:tc>
        <w:tc>
          <w:tcPr>
            <w:tcW w:w="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center"/>
              <w:textAlignment w:val="center"/>
              <w:outlineLvl w:val="9"/>
              <w:rPr>
                <w:rFonts w:hint="default" w:ascii="Times New Roman" w:hAnsi="Times New Roman" w:eastAsia="方正仿宋_GBK" w:cs="Times New Roman"/>
                <w:color w:val="000000"/>
                <w:sz w:val="18"/>
                <w:szCs w:val="18"/>
                <w:lang w:val="en-US"/>
              </w:rPr>
            </w:pPr>
            <w:r>
              <w:rPr>
                <w:rFonts w:hint="default" w:ascii="Times New Roman" w:hAnsi="Times New Roman" w:eastAsia="方正仿宋_GBK" w:cs="Times New Roman"/>
                <w:i w:val="0"/>
                <w:color w:val="000000"/>
                <w:kern w:val="0"/>
                <w:sz w:val="18"/>
                <w:szCs w:val="18"/>
                <w:u w:val="none"/>
                <w:lang w:val="en-US" w:eastAsia="zh-CN" w:bidi="ar"/>
              </w:rPr>
              <w:t>30</w:t>
            </w:r>
          </w:p>
        </w:tc>
        <w:tc>
          <w:tcPr>
            <w:tcW w:w="9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center"/>
              <w:textAlignment w:val="center"/>
              <w:outlineLvl w:val="9"/>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color w:val="000000"/>
                <w:kern w:val="0"/>
                <w:sz w:val="18"/>
                <w:szCs w:val="18"/>
                <w:u w:val="none"/>
                <w:lang w:val="en-US" w:eastAsia="zh-CN" w:bidi="ar"/>
              </w:rPr>
              <w:t>1</w:t>
            </w:r>
          </w:p>
        </w:tc>
        <w:tc>
          <w:tcPr>
            <w:tcW w:w="6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center"/>
              <w:textAlignment w:val="center"/>
              <w:outlineLvl w:val="9"/>
              <w:rPr>
                <w:rFonts w:hint="default" w:ascii="Times New Roman" w:hAnsi="Times New Roman" w:eastAsia="方正仿宋_GBK" w:cs="Times New Roman"/>
                <w:color w:val="000000"/>
                <w:sz w:val="18"/>
                <w:szCs w:val="18"/>
                <w:lang w:val="en-US"/>
              </w:rPr>
            </w:pPr>
            <w:r>
              <w:rPr>
                <w:rFonts w:hint="default" w:ascii="Times New Roman" w:hAnsi="Times New Roman" w:eastAsia="方正仿宋_GBK" w:cs="Times New Roman"/>
                <w:i w:val="0"/>
                <w:color w:val="000000"/>
                <w:kern w:val="0"/>
                <w:sz w:val="18"/>
                <w:szCs w:val="18"/>
                <w:u w:val="none"/>
                <w:lang w:val="en-US" w:eastAsia="zh-CN" w:bidi="ar"/>
              </w:rPr>
              <w:t>30</w:t>
            </w:r>
          </w:p>
        </w:tc>
        <w:tc>
          <w:tcPr>
            <w:tcW w:w="5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60" w:lineRule="exact"/>
              <w:ind w:firstLine="0" w:firstLineChars="0"/>
              <w:jc w:val="center"/>
              <w:outlineLvl w:val="9"/>
              <w:rPr>
                <w:rFonts w:hint="default" w:ascii="Times New Roman" w:hAnsi="Times New Roman" w:eastAsia="方正仿宋_GBK" w:cs="Times New Roman"/>
                <w:color w:val="000000"/>
                <w:sz w:val="18"/>
                <w:szCs w:val="18"/>
              </w:rPr>
            </w:pPr>
          </w:p>
        </w:tc>
        <w:tc>
          <w:tcPr>
            <w:tcW w:w="1399"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60" w:lineRule="exact"/>
              <w:ind w:firstLine="0" w:firstLineChars="0"/>
              <w:jc w:val="center"/>
              <w:outlineLvl w:val="9"/>
              <w:rPr>
                <w:rFonts w:hint="default" w:ascii="Times New Roman" w:hAnsi="Times New Roman" w:eastAsia="方正仿宋_GBK" w:cs="Times New Roman"/>
                <w:color w:val="000000"/>
                <w:sz w:val="18"/>
                <w:szCs w:val="18"/>
                <w:lang w:val="en-US" w:eastAsia="zh-CN"/>
              </w:rPr>
            </w:pPr>
            <w:r>
              <w:rPr>
                <w:rFonts w:hint="default" w:ascii="Times New Roman" w:hAnsi="Times New Roman" w:eastAsia="方正仿宋_GBK" w:cs="Times New Roman"/>
                <w:color w:val="000000"/>
                <w:sz w:val="18"/>
                <w:szCs w:val="18"/>
                <w:lang w:val="en-US" w:eastAsia="zh-CN"/>
              </w:rPr>
              <w:t>100</w:t>
            </w:r>
          </w:p>
        </w:tc>
      </w:tr>
      <w:tr>
        <w:tblPrEx>
          <w:tblLayout w:type="fixed"/>
          <w:tblCellMar>
            <w:top w:w="0" w:type="dxa"/>
            <w:left w:w="108" w:type="dxa"/>
            <w:bottom w:w="0" w:type="dxa"/>
            <w:right w:w="108" w:type="dxa"/>
          </w:tblCellMar>
        </w:tblPrEx>
        <w:trPr>
          <w:trHeight w:val="741" w:hRule="atLeast"/>
          <w:jc w:val="center"/>
        </w:trPr>
        <w:tc>
          <w:tcPr>
            <w:tcW w:w="663"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60" w:lineRule="exact"/>
              <w:ind w:firstLine="0" w:firstLineChars="0"/>
              <w:jc w:val="center"/>
              <w:textAlignment w:val="center"/>
              <w:outlineLvl w:val="9"/>
              <w:rPr>
                <w:rFonts w:hint="default" w:ascii="Times New Roman" w:hAnsi="Times New Roman" w:eastAsia="方正仿宋_GBK" w:cs="Times New Roman"/>
                <w:color w:val="000000"/>
                <w:sz w:val="18"/>
                <w:szCs w:val="18"/>
              </w:rPr>
            </w:pPr>
          </w:p>
        </w:tc>
        <w:tc>
          <w:tcPr>
            <w:tcW w:w="1157"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60" w:lineRule="exact"/>
              <w:ind w:firstLine="0" w:firstLineChars="0"/>
              <w:jc w:val="center"/>
              <w:outlineLvl w:val="9"/>
              <w:rPr>
                <w:rFonts w:hint="default" w:ascii="Times New Roman" w:hAnsi="Times New Roman" w:eastAsia="方正仿宋_GBK" w:cs="Times New Roman"/>
                <w:color w:val="000000"/>
                <w:sz w:val="18"/>
                <w:szCs w:val="18"/>
              </w:rPr>
            </w:pPr>
          </w:p>
        </w:tc>
        <w:tc>
          <w:tcPr>
            <w:tcW w:w="144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center"/>
              <w:textAlignment w:val="center"/>
              <w:outlineLvl w:val="9"/>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sz w:val="18"/>
                <w:szCs w:val="18"/>
              </w:rPr>
              <w:t>合格率</w:t>
            </w:r>
          </w:p>
        </w:tc>
        <w:tc>
          <w:tcPr>
            <w:tcW w:w="6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center"/>
              <w:textAlignment w:val="center"/>
              <w:outlineLvl w:val="9"/>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color w:val="000000"/>
                <w:kern w:val="0"/>
                <w:sz w:val="18"/>
                <w:szCs w:val="18"/>
                <w:u w:val="none"/>
                <w:lang w:val="en-US" w:eastAsia="zh-CN" w:bidi="ar"/>
              </w:rPr>
              <w:t>≥</w:t>
            </w:r>
          </w:p>
        </w:tc>
        <w:tc>
          <w:tcPr>
            <w:tcW w:w="89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center"/>
              <w:textAlignment w:val="center"/>
              <w:outlineLvl w:val="9"/>
              <w:rPr>
                <w:rFonts w:hint="default" w:ascii="Times New Roman" w:hAnsi="Times New Roman" w:eastAsia="方正仿宋_GBK" w:cs="Times New Roman"/>
                <w:color w:val="000000"/>
                <w:sz w:val="18"/>
                <w:szCs w:val="18"/>
                <w:lang w:val="en-US"/>
              </w:rPr>
            </w:pPr>
            <w:r>
              <w:rPr>
                <w:rFonts w:hint="default" w:ascii="Times New Roman" w:hAnsi="Times New Roman" w:eastAsia="方正仿宋_GBK" w:cs="Times New Roman"/>
                <w:i w:val="0"/>
                <w:color w:val="000000"/>
                <w:kern w:val="0"/>
                <w:sz w:val="18"/>
                <w:szCs w:val="18"/>
                <w:u w:val="none"/>
                <w:lang w:val="en-US" w:eastAsia="zh-CN" w:bidi="ar"/>
              </w:rPr>
              <w:t>90</w:t>
            </w:r>
          </w:p>
        </w:tc>
        <w:tc>
          <w:tcPr>
            <w:tcW w:w="78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center"/>
              <w:textAlignment w:val="center"/>
              <w:outlineLvl w:val="9"/>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color w:val="000000"/>
                <w:kern w:val="0"/>
                <w:sz w:val="18"/>
                <w:szCs w:val="18"/>
                <w:u w:val="none"/>
                <w:lang w:val="en-US" w:eastAsia="zh-CN" w:bidi="ar"/>
              </w:rPr>
              <w:t>%</w:t>
            </w:r>
          </w:p>
        </w:tc>
        <w:tc>
          <w:tcPr>
            <w:tcW w:w="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center"/>
              <w:textAlignment w:val="center"/>
              <w:outlineLvl w:val="9"/>
              <w:rPr>
                <w:rFonts w:hint="default" w:ascii="Times New Roman" w:hAnsi="Times New Roman" w:eastAsia="方正仿宋_GBK" w:cs="Times New Roman"/>
                <w:color w:val="000000"/>
                <w:sz w:val="18"/>
                <w:szCs w:val="18"/>
                <w:lang w:val="en-US"/>
              </w:rPr>
            </w:pPr>
            <w:r>
              <w:rPr>
                <w:rFonts w:hint="default" w:ascii="Times New Roman" w:hAnsi="Times New Roman" w:eastAsia="方正仿宋_GBK" w:cs="Times New Roman"/>
                <w:i w:val="0"/>
                <w:color w:val="000000"/>
                <w:kern w:val="0"/>
                <w:sz w:val="18"/>
                <w:szCs w:val="18"/>
                <w:u w:val="none"/>
                <w:lang w:val="en-US" w:eastAsia="zh-CN" w:bidi="ar"/>
              </w:rPr>
              <w:t>30</w:t>
            </w:r>
          </w:p>
        </w:tc>
        <w:tc>
          <w:tcPr>
            <w:tcW w:w="9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center"/>
              <w:textAlignment w:val="center"/>
              <w:outlineLvl w:val="9"/>
              <w:rPr>
                <w:rFonts w:hint="default" w:ascii="Times New Roman" w:hAnsi="Times New Roman" w:eastAsia="方正仿宋_GBK" w:cs="Times New Roman"/>
                <w:color w:val="000000"/>
                <w:sz w:val="18"/>
                <w:szCs w:val="18"/>
                <w:lang w:val="en-US"/>
              </w:rPr>
            </w:pPr>
            <w:r>
              <w:rPr>
                <w:rFonts w:hint="default" w:ascii="Times New Roman" w:hAnsi="Times New Roman" w:eastAsia="方正仿宋_GBK" w:cs="Times New Roman"/>
                <w:i w:val="0"/>
                <w:color w:val="000000"/>
                <w:kern w:val="0"/>
                <w:sz w:val="18"/>
                <w:szCs w:val="18"/>
                <w:u w:val="none"/>
                <w:lang w:val="en-US" w:eastAsia="zh-CN" w:bidi="ar"/>
              </w:rPr>
              <w:t>100</w:t>
            </w:r>
          </w:p>
        </w:tc>
        <w:tc>
          <w:tcPr>
            <w:tcW w:w="6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center"/>
              <w:textAlignment w:val="center"/>
              <w:outlineLvl w:val="9"/>
              <w:rPr>
                <w:rFonts w:hint="default" w:ascii="Times New Roman" w:hAnsi="Times New Roman" w:eastAsia="方正仿宋_GBK" w:cs="Times New Roman"/>
                <w:color w:val="000000"/>
                <w:sz w:val="18"/>
                <w:szCs w:val="18"/>
                <w:lang w:val="en-US"/>
              </w:rPr>
            </w:pPr>
            <w:r>
              <w:rPr>
                <w:rFonts w:hint="default" w:ascii="Times New Roman" w:hAnsi="Times New Roman" w:eastAsia="方正仿宋_GBK" w:cs="Times New Roman"/>
                <w:i w:val="0"/>
                <w:color w:val="000000"/>
                <w:kern w:val="0"/>
                <w:sz w:val="18"/>
                <w:szCs w:val="18"/>
                <w:u w:val="none"/>
                <w:lang w:val="en-US" w:eastAsia="zh-CN" w:bidi="ar"/>
              </w:rPr>
              <w:t>30</w:t>
            </w:r>
          </w:p>
        </w:tc>
        <w:tc>
          <w:tcPr>
            <w:tcW w:w="5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60" w:lineRule="exact"/>
              <w:ind w:firstLine="0" w:firstLineChars="0"/>
              <w:jc w:val="center"/>
              <w:outlineLvl w:val="9"/>
              <w:rPr>
                <w:rFonts w:hint="default" w:ascii="Times New Roman" w:hAnsi="Times New Roman" w:eastAsia="方正仿宋_GBK" w:cs="Times New Roman"/>
                <w:color w:val="000000"/>
                <w:sz w:val="18"/>
                <w:szCs w:val="18"/>
              </w:rPr>
            </w:pPr>
          </w:p>
        </w:tc>
        <w:tc>
          <w:tcPr>
            <w:tcW w:w="1399"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60" w:lineRule="exact"/>
              <w:ind w:firstLine="0" w:firstLineChars="0"/>
              <w:jc w:val="center"/>
              <w:outlineLvl w:val="9"/>
              <w:rPr>
                <w:rFonts w:hint="default" w:ascii="Times New Roman" w:hAnsi="Times New Roman" w:eastAsia="方正仿宋_GBK" w:cs="Times New Roman"/>
                <w:color w:val="000000"/>
                <w:sz w:val="18"/>
                <w:szCs w:val="18"/>
              </w:rPr>
            </w:pPr>
          </w:p>
        </w:tc>
      </w:tr>
      <w:tr>
        <w:tblPrEx>
          <w:tblLayout w:type="fixed"/>
          <w:tblCellMar>
            <w:top w:w="0" w:type="dxa"/>
            <w:left w:w="108" w:type="dxa"/>
            <w:bottom w:w="0" w:type="dxa"/>
            <w:right w:w="108" w:type="dxa"/>
          </w:tblCellMar>
        </w:tblPrEx>
        <w:trPr>
          <w:trHeight w:val="526" w:hRule="atLeast"/>
          <w:jc w:val="center"/>
        </w:trPr>
        <w:tc>
          <w:tcPr>
            <w:tcW w:w="663"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60" w:lineRule="exact"/>
              <w:ind w:firstLine="0" w:firstLineChars="0"/>
              <w:jc w:val="center"/>
              <w:textAlignment w:val="center"/>
              <w:outlineLvl w:val="9"/>
              <w:rPr>
                <w:rFonts w:hint="default" w:ascii="Times New Roman" w:hAnsi="Times New Roman" w:eastAsia="方正仿宋_GBK" w:cs="Times New Roman"/>
                <w:color w:val="000000"/>
                <w:sz w:val="18"/>
                <w:szCs w:val="18"/>
              </w:rPr>
            </w:pPr>
          </w:p>
        </w:tc>
        <w:tc>
          <w:tcPr>
            <w:tcW w:w="1157"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60" w:lineRule="exact"/>
              <w:ind w:firstLine="0" w:firstLineChars="0"/>
              <w:jc w:val="center"/>
              <w:outlineLvl w:val="9"/>
              <w:rPr>
                <w:rFonts w:hint="default" w:ascii="Times New Roman" w:hAnsi="Times New Roman" w:eastAsia="方正仿宋_GBK" w:cs="Times New Roman"/>
                <w:color w:val="000000"/>
                <w:sz w:val="18"/>
                <w:szCs w:val="18"/>
              </w:rPr>
            </w:pPr>
          </w:p>
        </w:tc>
        <w:tc>
          <w:tcPr>
            <w:tcW w:w="144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center"/>
              <w:textAlignment w:val="center"/>
              <w:outlineLvl w:val="9"/>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sz w:val="18"/>
                <w:szCs w:val="18"/>
              </w:rPr>
              <w:t>成果利用率</w:t>
            </w:r>
          </w:p>
        </w:tc>
        <w:tc>
          <w:tcPr>
            <w:tcW w:w="6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center"/>
              <w:textAlignment w:val="center"/>
              <w:outlineLvl w:val="9"/>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color w:val="000000"/>
                <w:kern w:val="0"/>
                <w:sz w:val="18"/>
                <w:szCs w:val="18"/>
                <w:u w:val="none"/>
                <w:lang w:val="en-US" w:eastAsia="zh-CN" w:bidi="ar"/>
              </w:rPr>
              <w:t>≥</w:t>
            </w:r>
          </w:p>
        </w:tc>
        <w:tc>
          <w:tcPr>
            <w:tcW w:w="89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center"/>
              <w:textAlignment w:val="center"/>
              <w:outlineLvl w:val="9"/>
              <w:rPr>
                <w:rFonts w:hint="default" w:ascii="Times New Roman" w:hAnsi="Times New Roman" w:eastAsia="方正仿宋_GBK" w:cs="Times New Roman"/>
                <w:color w:val="000000"/>
                <w:sz w:val="18"/>
                <w:szCs w:val="18"/>
                <w:lang w:val="en-US"/>
              </w:rPr>
            </w:pPr>
            <w:r>
              <w:rPr>
                <w:rFonts w:hint="default" w:ascii="Times New Roman" w:hAnsi="Times New Roman" w:eastAsia="方正仿宋_GBK" w:cs="Times New Roman"/>
                <w:i w:val="0"/>
                <w:color w:val="000000"/>
                <w:kern w:val="0"/>
                <w:sz w:val="18"/>
                <w:szCs w:val="18"/>
                <w:u w:val="none"/>
                <w:lang w:val="en-US" w:eastAsia="zh-CN" w:bidi="ar"/>
              </w:rPr>
              <w:t>90</w:t>
            </w:r>
          </w:p>
        </w:tc>
        <w:tc>
          <w:tcPr>
            <w:tcW w:w="78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center"/>
              <w:textAlignment w:val="center"/>
              <w:outlineLvl w:val="9"/>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color w:val="000000"/>
                <w:kern w:val="0"/>
                <w:sz w:val="18"/>
                <w:szCs w:val="18"/>
                <w:u w:val="none"/>
                <w:lang w:val="en-US" w:eastAsia="zh-CN" w:bidi="ar"/>
              </w:rPr>
              <w:t>%</w:t>
            </w:r>
          </w:p>
        </w:tc>
        <w:tc>
          <w:tcPr>
            <w:tcW w:w="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center"/>
              <w:textAlignment w:val="center"/>
              <w:outlineLvl w:val="9"/>
              <w:rPr>
                <w:rFonts w:hint="default" w:ascii="Times New Roman" w:hAnsi="Times New Roman" w:eastAsia="方正仿宋_GBK" w:cs="Times New Roman"/>
                <w:color w:val="000000"/>
                <w:sz w:val="18"/>
                <w:szCs w:val="18"/>
                <w:lang w:val="en-US"/>
              </w:rPr>
            </w:pPr>
            <w:r>
              <w:rPr>
                <w:rFonts w:hint="default" w:ascii="Times New Roman" w:hAnsi="Times New Roman" w:eastAsia="方正仿宋_GBK" w:cs="Times New Roman"/>
                <w:i w:val="0"/>
                <w:color w:val="000000"/>
                <w:kern w:val="0"/>
                <w:sz w:val="18"/>
                <w:szCs w:val="18"/>
                <w:u w:val="none"/>
                <w:lang w:val="en-US" w:eastAsia="zh-CN" w:bidi="ar"/>
              </w:rPr>
              <w:t>30</w:t>
            </w:r>
          </w:p>
        </w:tc>
        <w:tc>
          <w:tcPr>
            <w:tcW w:w="9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center"/>
              <w:textAlignment w:val="center"/>
              <w:outlineLvl w:val="9"/>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color w:val="000000"/>
                <w:kern w:val="0"/>
                <w:sz w:val="18"/>
                <w:szCs w:val="18"/>
                <w:u w:val="none"/>
                <w:lang w:val="en-US" w:eastAsia="zh-CN" w:bidi="ar"/>
              </w:rPr>
              <w:t>100</w:t>
            </w:r>
          </w:p>
        </w:tc>
        <w:tc>
          <w:tcPr>
            <w:tcW w:w="6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center"/>
              <w:textAlignment w:val="center"/>
              <w:outlineLvl w:val="9"/>
              <w:rPr>
                <w:rFonts w:hint="default" w:ascii="Times New Roman" w:hAnsi="Times New Roman" w:eastAsia="方正仿宋_GBK" w:cs="Times New Roman"/>
                <w:color w:val="000000"/>
                <w:sz w:val="18"/>
                <w:szCs w:val="18"/>
                <w:lang w:val="en-US"/>
              </w:rPr>
            </w:pPr>
            <w:r>
              <w:rPr>
                <w:rFonts w:hint="default" w:ascii="Times New Roman" w:hAnsi="Times New Roman" w:eastAsia="方正仿宋_GBK" w:cs="Times New Roman"/>
                <w:i w:val="0"/>
                <w:color w:val="000000"/>
                <w:kern w:val="0"/>
                <w:sz w:val="18"/>
                <w:szCs w:val="18"/>
                <w:u w:val="none"/>
                <w:lang w:val="en-US" w:eastAsia="zh-CN" w:bidi="ar"/>
              </w:rPr>
              <w:t>30</w:t>
            </w:r>
          </w:p>
        </w:tc>
        <w:tc>
          <w:tcPr>
            <w:tcW w:w="5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60" w:lineRule="exact"/>
              <w:ind w:firstLine="0" w:firstLineChars="0"/>
              <w:jc w:val="center"/>
              <w:outlineLvl w:val="9"/>
              <w:rPr>
                <w:rFonts w:hint="default" w:ascii="Times New Roman" w:hAnsi="Times New Roman" w:eastAsia="方正仿宋_GBK" w:cs="Times New Roman"/>
                <w:color w:val="000000"/>
                <w:sz w:val="18"/>
                <w:szCs w:val="18"/>
              </w:rPr>
            </w:pPr>
          </w:p>
        </w:tc>
        <w:tc>
          <w:tcPr>
            <w:tcW w:w="1399"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60" w:lineRule="exact"/>
              <w:ind w:firstLine="0" w:firstLineChars="0"/>
              <w:jc w:val="center"/>
              <w:outlineLvl w:val="9"/>
              <w:rPr>
                <w:rFonts w:hint="default" w:ascii="Times New Roman" w:hAnsi="Times New Roman" w:eastAsia="方正仿宋_GBK" w:cs="Times New Roman"/>
                <w:color w:val="000000"/>
                <w:sz w:val="18"/>
                <w:szCs w:val="18"/>
              </w:rPr>
            </w:pPr>
          </w:p>
        </w:tc>
      </w:tr>
      <w:tr>
        <w:tblPrEx>
          <w:tblLayout w:type="fixed"/>
          <w:tblCellMar>
            <w:top w:w="0" w:type="dxa"/>
            <w:left w:w="108" w:type="dxa"/>
            <w:bottom w:w="0" w:type="dxa"/>
            <w:right w:w="108" w:type="dxa"/>
          </w:tblCellMar>
        </w:tblPrEx>
        <w:trPr>
          <w:trHeight w:val="640" w:hRule="atLeast"/>
          <w:jc w:val="center"/>
        </w:trPr>
        <w:tc>
          <w:tcPr>
            <w:tcW w:w="663" w:type="dxa"/>
            <w:vMerge w:val="continue"/>
            <w:tcBorders>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60" w:lineRule="exact"/>
              <w:ind w:firstLine="0" w:firstLineChars="0"/>
              <w:jc w:val="center"/>
              <w:textAlignment w:val="center"/>
              <w:outlineLvl w:val="9"/>
              <w:rPr>
                <w:rFonts w:hint="default" w:ascii="Times New Roman" w:hAnsi="Times New Roman" w:eastAsia="方正仿宋_GBK" w:cs="Times New Roman"/>
                <w:color w:val="000000"/>
                <w:sz w:val="18"/>
                <w:szCs w:val="18"/>
              </w:rPr>
            </w:pPr>
          </w:p>
        </w:tc>
        <w:tc>
          <w:tcPr>
            <w:tcW w:w="1157"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60" w:lineRule="exact"/>
              <w:ind w:firstLine="0" w:firstLineChars="0"/>
              <w:jc w:val="center"/>
              <w:outlineLvl w:val="9"/>
              <w:rPr>
                <w:rFonts w:hint="default" w:ascii="Times New Roman" w:hAnsi="Times New Roman" w:eastAsia="方正仿宋_GBK" w:cs="Times New Roman"/>
                <w:color w:val="000000"/>
                <w:sz w:val="18"/>
                <w:szCs w:val="18"/>
              </w:rPr>
            </w:pPr>
          </w:p>
        </w:tc>
        <w:tc>
          <w:tcPr>
            <w:tcW w:w="144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center"/>
              <w:textAlignment w:val="center"/>
              <w:outlineLvl w:val="9"/>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color w:val="000000"/>
                <w:kern w:val="0"/>
                <w:sz w:val="18"/>
                <w:szCs w:val="18"/>
                <w:u w:val="none"/>
                <w:lang w:val="en-US" w:eastAsia="zh-CN" w:bidi="ar"/>
              </w:rPr>
              <w:t>全年预算支出执行率</w:t>
            </w:r>
          </w:p>
        </w:tc>
        <w:tc>
          <w:tcPr>
            <w:tcW w:w="6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center"/>
              <w:textAlignment w:val="center"/>
              <w:outlineLvl w:val="9"/>
              <w:rPr>
                <w:rFonts w:hint="default" w:ascii="Times New Roman" w:hAnsi="Times New Roman" w:eastAsia="方正仿宋_GBK" w:cs="Times New Roman"/>
                <w:color w:val="000000"/>
                <w:sz w:val="18"/>
                <w:szCs w:val="18"/>
                <w:lang w:eastAsia="zh-CN"/>
              </w:rPr>
            </w:pPr>
            <w:r>
              <w:rPr>
                <w:rFonts w:hint="default" w:ascii="Times New Roman" w:hAnsi="Times New Roman" w:eastAsia="方正仿宋_GBK" w:cs="Times New Roman"/>
                <w:i w:val="0"/>
                <w:color w:val="000000"/>
                <w:kern w:val="0"/>
                <w:sz w:val="18"/>
                <w:szCs w:val="18"/>
                <w:u w:val="none"/>
                <w:lang w:val="en-US" w:eastAsia="zh-CN" w:bidi="ar"/>
              </w:rPr>
              <w:t>%</w:t>
            </w:r>
          </w:p>
        </w:tc>
        <w:tc>
          <w:tcPr>
            <w:tcW w:w="89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center"/>
              <w:textAlignment w:val="center"/>
              <w:outlineLvl w:val="9"/>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lang w:val="en-US" w:eastAsia="zh-CN"/>
              </w:rPr>
              <w:t>=</w:t>
            </w:r>
          </w:p>
        </w:tc>
        <w:tc>
          <w:tcPr>
            <w:tcW w:w="78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center"/>
              <w:textAlignment w:val="center"/>
              <w:outlineLvl w:val="9"/>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color w:val="000000"/>
                <w:kern w:val="0"/>
                <w:sz w:val="18"/>
                <w:szCs w:val="18"/>
                <w:u w:val="none"/>
                <w:lang w:val="en-US" w:eastAsia="zh-CN" w:bidi="ar"/>
              </w:rPr>
              <w:t>100</w:t>
            </w:r>
          </w:p>
        </w:tc>
        <w:tc>
          <w:tcPr>
            <w:tcW w:w="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center"/>
              <w:textAlignment w:val="center"/>
              <w:outlineLvl w:val="9"/>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color w:val="000000"/>
                <w:kern w:val="0"/>
                <w:sz w:val="18"/>
                <w:szCs w:val="18"/>
                <w:u w:val="none"/>
                <w:lang w:val="en-US" w:eastAsia="zh-CN" w:bidi="ar"/>
              </w:rPr>
              <w:t>10</w:t>
            </w:r>
          </w:p>
        </w:tc>
        <w:tc>
          <w:tcPr>
            <w:tcW w:w="9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center"/>
              <w:textAlignment w:val="center"/>
              <w:outlineLvl w:val="9"/>
              <w:rPr>
                <w:rFonts w:hint="default" w:ascii="Times New Roman" w:hAnsi="Times New Roman" w:eastAsia="方正仿宋_GBK" w:cs="Times New Roman"/>
                <w:color w:val="000000"/>
                <w:sz w:val="18"/>
                <w:szCs w:val="18"/>
                <w:lang w:val="en-US"/>
              </w:rPr>
            </w:pPr>
            <w:r>
              <w:rPr>
                <w:rFonts w:hint="default" w:ascii="Times New Roman" w:hAnsi="Times New Roman" w:eastAsia="方正仿宋_GBK" w:cs="Times New Roman"/>
                <w:i w:val="0"/>
                <w:color w:val="000000"/>
                <w:kern w:val="0"/>
                <w:sz w:val="18"/>
                <w:szCs w:val="18"/>
                <w:u w:val="none"/>
                <w:lang w:val="en-US" w:eastAsia="zh-CN" w:bidi="ar"/>
              </w:rPr>
              <w:t>100</w:t>
            </w:r>
          </w:p>
        </w:tc>
        <w:tc>
          <w:tcPr>
            <w:tcW w:w="6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center"/>
              <w:textAlignment w:val="center"/>
              <w:outlineLvl w:val="9"/>
              <w:rPr>
                <w:rFonts w:hint="default" w:ascii="Times New Roman" w:hAnsi="Times New Roman" w:eastAsia="方正仿宋_GBK" w:cs="Times New Roman"/>
                <w:color w:val="000000"/>
                <w:sz w:val="18"/>
                <w:szCs w:val="18"/>
                <w:lang w:val="en-US"/>
              </w:rPr>
            </w:pPr>
            <w:r>
              <w:rPr>
                <w:rFonts w:hint="default" w:ascii="Times New Roman" w:hAnsi="Times New Roman" w:eastAsia="方正仿宋_GBK" w:cs="Times New Roman"/>
                <w:i w:val="0"/>
                <w:color w:val="000000"/>
                <w:kern w:val="0"/>
                <w:sz w:val="18"/>
                <w:szCs w:val="18"/>
                <w:u w:val="none"/>
                <w:lang w:val="en-US" w:eastAsia="zh-CN" w:bidi="ar"/>
              </w:rPr>
              <w:t>10</w:t>
            </w:r>
          </w:p>
        </w:tc>
        <w:tc>
          <w:tcPr>
            <w:tcW w:w="5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center"/>
              <w:textAlignment w:val="center"/>
              <w:outlineLvl w:val="9"/>
              <w:rPr>
                <w:rFonts w:hint="default" w:ascii="Times New Roman" w:hAnsi="Times New Roman" w:eastAsia="方正仿宋_GBK" w:cs="Times New Roman"/>
                <w:color w:val="000000"/>
                <w:sz w:val="18"/>
                <w:szCs w:val="18"/>
              </w:rPr>
            </w:pPr>
          </w:p>
        </w:tc>
        <w:tc>
          <w:tcPr>
            <w:tcW w:w="1399"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60" w:lineRule="exact"/>
              <w:ind w:firstLine="0" w:firstLineChars="0"/>
              <w:jc w:val="center"/>
              <w:outlineLvl w:val="9"/>
              <w:rPr>
                <w:rFonts w:hint="default" w:ascii="Times New Roman" w:hAnsi="Times New Roman" w:eastAsia="方正仿宋_GBK" w:cs="Times New Roman"/>
                <w:color w:val="000000"/>
                <w:sz w:val="18"/>
                <w:szCs w:val="18"/>
              </w:rPr>
            </w:pPr>
          </w:p>
        </w:tc>
      </w:tr>
      <w:tr>
        <w:tblPrEx>
          <w:tblLayout w:type="fixed"/>
          <w:tblCellMar>
            <w:top w:w="0" w:type="dxa"/>
            <w:left w:w="108" w:type="dxa"/>
            <w:bottom w:w="0" w:type="dxa"/>
            <w:right w:w="108" w:type="dxa"/>
          </w:tblCellMar>
        </w:tblPrEx>
        <w:trPr>
          <w:trHeight w:val="640" w:hRule="atLeast"/>
          <w:jc w:val="center"/>
        </w:trPr>
        <w:tc>
          <w:tcPr>
            <w:tcW w:w="663"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60" w:lineRule="exact"/>
              <w:ind w:firstLine="0" w:firstLineChars="0"/>
              <w:jc w:val="center"/>
              <w:textAlignment w:val="center"/>
              <w:outlineLvl w:val="9"/>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3</w:t>
            </w:r>
          </w:p>
        </w:tc>
        <w:tc>
          <w:tcPr>
            <w:tcW w:w="1157" w:type="dxa"/>
            <w:vMerge w:val="restart"/>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60" w:lineRule="exact"/>
              <w:ind w:firstLine="0" w:firstLineChars="0"/>
              <w:jc w:val="center"/>
              <w:outlineLvl w:val="9"/>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定价成本监审</w:t>
            </w:r>
          </w:p>
        </w:tc>
        <w:tc>
          <w:tcPr>
            <w:tcW w:w="144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center"/>
              <w:textAlignment w:val="center"/>
              <w:outlineLvl w:val="9"/>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sz w:val="18"/>
                <w:szCs w:val="18"/>
              </w:rPr>
              <w:t>成本监审项目数量</w:t>
            </w:r>
          </w:p>
        </w:tc>
        <w:tc>
          <w:tcPr>
            <w:tcW w:w="6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center"/>
              <w:textAlignment w:val="center"/>
              <w:outlineLvl w:val="9"/>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color w:val="000000"/>
                <w:kern w:val="0"/>
                <w:sz w:val="18"/>
                <w:szCs w:val="18"/>
                <w:u w:val="none"/>
                <w:lang w:val="en-US" w:eastAsia="zh-CN" w:bidi="ar"/>
              </w:rPr>
              <w:t>≥</w:t>
            </w:r>
          </w:p>
        </w:tc>
        <w:tc>
          <w:tcPr>
            <w:tcW w:w="89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center"/>
              <w:textAlignment w:val="center"/>
              <w:outlineLvl w:val="9"/>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color w:val="000000"/>
                <w:kern w:val="0"/>
                <w:sz w:val="18"/>
                <w:szCs w:val="18"/>
                <w:u w:val="none"/>
                <w:lang w:val="en-US" w:eastAsia="zh-CN" w:bidi="ar"/>
              </w:rPr>
              <w:t>1</w:t>
            </w:r>
          </w:p>
        </w:tc>
        <w:tc>
          <w:tcPr>
            <w:tcW w:w="78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center"/>
              <w:textAlignment w:val="center"/>
              <w:outlineLvl w:val="9"/>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color w:val="000000"/>
                <w:kern w:val="0"/>
                <w:sz w:val="18"/>
                <w:szCs w:val="18"/>
                <w:u w:val="none"/>
                <w:lang w:val="en-US" w:eastAsia="zh-CN" w:bidi="ar"/>
              </w:rPr>
              <w:t>个</w:t>
            </w:r>
          </w:p>
        </w:tc>
        <w:tc>
          <w:tcPr>
            <w:tcW w:w="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center"/>
              <w:textAlignment w:val="center"/>
              <w:outlineLvl w:val="9"/>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color w:val="000000"/>
                <w:kern w:val="0"/>
                <w:sz w:val="18"/>
                <w:szCs w:val="18"/>
                <w:u w:val="none"/>
                <w:lang w:val="en-US" w:eastAsia="zh-CN" w:bidi="ar"/>
              </w:rPr>
              <w:t>30</w:t>
            </w:r>
          </w:p>
        </w:tc>
        <w:tc>
          <w:tcPr>
            <w:tcW w:w="9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center"/>
              <w:textAlignment w:val="center"/>
              <w:outlineLvl w:val="9"/>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color w:val="000000"/>
                <w:kern w:val="0"/>
                <w:sz w:val="18"/>
                <w:szCs w:val="18"/>
                <w:u w:val="none"/>
                <w:lang w:val="en-US" w:eastAsia="zh-CN" w:bidi="ar"/>
              </w:rPr>
              <w:t>2</w:t>
            </w:r>
          </w:p>
        </w:tc>
        <w:tc>
          <w:tcPr>
            <w:tcW w:w="6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center"/>
              <w:textAlignment w:val="center"/>
              <w:outlineLvl w:val="9"/>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color w:val="000000"/>
                <w:kern w:val="0"/>
                <w:sz w:val="18"/>
                <w:szCs w:val="18"/>
                <w:u w:val="none"/>
                <w:lang w:val="en-US" w:eastAsia="zh-CN" w:bidi="ar"/>
              </w:rPr>
              <w:t>30</w:t>
            </w:r>
          </w:p>
        </w:tc>
        <w:tc>
          <w:tcPr>
            <w:tcW w:w="5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60" w:lineRule="exact"/>
              <w:ind w:firstLine="0" w:firstLineChars="0"/>
              <w:jc w:val="center"/>
              <w:outlineLvl w:val="9"/>
              <w:rPr>
                <w:rFonts w:hint="default" w:ascii="Times New Roman" w:hAnsi="Times New Roman" w:eastAsia="方正仿宋_GBK" w:cs="Times New Roman"/>
                <w:color w:val="000000"/>
                <w:sz w:val="18"/>
                <w:szCs w:val="18"/>
              </w:rPr>
            </w:pPr>
          </w:p>
        </w:tc>
        <w:tc>
          <w:tcPr>
            <w:tcW w:w="1399"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60" w:lineRule="exact"/>
              <w:ind w:firstLine="0" w:firstLineChars="0"/>
              <w:jc w:val="center"/>
              <w:outlineLvl w:val="9"/>
              <w:rPr>
                <w:rFonts w:hint="default" w:ascii="Times New Roman" w:hAnsi="Times New Roman" w:eastAsia="方正仿宋_GBK" w:cs="Times New Roman"/>
                <w:color w:val="000000"/>
                <w:sz w:val="18"/>
                <w:szCs w:val="18"/>
                <w:lang w:val="en-US" w:eastAsia="zh-CN"/>
              </w:rPr>
            </w:pPr>
            <w:r>
              <w:rPr>
                <w:rFonts w:hint="default" w:ascii="Times New Roman" w:hAnsi="Times New Roman" w:eastAsia="方正仿宋_GBK" w:cs="Times New Roman"/>
                <w:color w:val="000000"/>
                <w:sz w:val="18"/>
                <w:szCs w:val="18"/>
                <w:lang w:val="en-US" w:eastAsia="zh-CN"/>
              </w:rPr>
              <w:t>100</w:t>
            </w:r>
          </w:p>
        </w:tc>
      </w:tr>
      <w:tr>
        <w:tblPrEx>
          <w:tblLayout w:type="fixed"/>
          <w:tblCellMar>
            <w:top w:w="0" w:type="dxa"/>
            <w:left w:w="108" w:type="dxa"/>
            <w:bottom w:w="0" w:type="dxa"/>
            <w:right w:w="108" w:type="dxa"/>
          </w:tblCellMar>
        </w:tblPrEx>
        <w:trPr>
          <w:trHeight w:val="640" w:hRule="atLeast"/>
          <w:jc w:val="center"/>
        </w:trPr>
        <w:tc>
          <w:tcPr>
            <w:tcW w:w="66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ind w:firstLine="0" w:firstLineChars="0"/>
              <w:jc w:val="center"/>
              <w:textAlignment w:val="center"/>
              <w:outlineLvl w:val="9"/>
              <w:rPr>
                <w:rFonts w:hint="default" w:ascii="Times New Roman" w:hAnsi="Times New Roman" w:cs="Times New Roman"/>
                <w:color w:val="000000"/>
                <w:sz w:val="22"/>
              </w:rPr>
            </w:pPr>
          </w:p>
        </w:tc>
        <w:tc>
          <w:tcPr>
            <w:tcW w:w="1157" w:type="dxa"/>
            <w:vMerge w:val="continue"/>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ind w:firstLine="0" w:firstLineChars="0"/>
              <w:jc w:val="center"/>
              <w:outlineLvl w:val="9"/>
              <w:rPr>
                <w:rFonts w:hint="default" w:ascii="Times New Roman" w:hAnsi="Times New Roman" w:cs="Times New Roman"/>
                <w:color w:val="000000"/>
                <w:sz w:val="22"/>
              </w:rPr>
            </w:pPr>
          </w:p>
        </w:tc>
        <w:tc>
          <w:tcPr>
            <w:tcW w:w="144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center"/>
              <w:textAlignment w:val="center"/>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服务质量达标率</w:t>
            </w:r>
          </w:p>
        </w:tc>
        <w:tc>
          <w:tcPr>
            <w:tcW w:w="6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center"/>
              <w:textAlignment w:val="center"/>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w:t>
            </w:r>
          </w:p>
        </w:tc>
        <w:tc>
          <w:tcPr>
            <w:tcW w:w="89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center"/>
              <w:textAlignment w:val="center"/>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95</w:t>
            </w:r>
          </w:p>
        </w:tc>
        <w:tc>
          <w:tcPr>
            <w:tcW w:w="78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center"/>
              <w:textAlignment w:val="center"/>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w:t>
            </w:r>
          </w:p>
        </w:tc>
        <w:tc>
          <w:tcPr>
            <w:tcW w:w="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center"/>
              <w:textAlignment w:val="center"/>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30</w:t>
            </w:r>
          </w:p>
        </w:tc>
        <w:tc>
          <w:tcPr>
            <w:tcW w:w="9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center"/>
              <w:textAlignment w:val="center"/>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100</w:t>
            </w:r>
          </w:p>
        </w:tc>
        <w:tc>
          <w:tcPr>
            <w:tcW w:w="6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center"/>
              <w:textAlignment w:val="center"/>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30</w:t>
            </w:r>
          </w:p>
        </w:tc>
        <w:tc>
          <w:tcPr>
            <w:tcW w:w="5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center"/>
              <w:textAlignment w:val="center"/>
              <w:outlineLvl w:val="9"/>
              <w:rPr>
                <w:rFonts w:hint="default" w:ascii="Times New Roman" w:hAnsi="Times New Roman" w:eastAsia="方正仿宋_GBK" w:cs="Times New Roman"/>
                <w:sz w:val="18"/>
                <w:szCs w:val="18"/>
              </w:rPr>
            </w:pPr>
          </w:p>
        </w:tc>
        <w:tc>
          <w:tcPr>
            <w:tcW w:w="1399"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ind w:firstLine="0" w:firstLineChars="0"/>
              <w:jc w:val="center"/>
              <w:outlineLvl w:val="9"/>
              <w:rPr>
                <w:rFonts w:hint="default" w:ascii="Times New Roman" w:hAnsi="Times New Roman" w:cs="Times New Roman"/>
                <w:color w:val="000000"/>
                <w:sz w:val="22"/>
              </w:rPr>
            </w:pPr>
          </w:p>
        </w:tc>
      </w:tr>
      <w:tr>
        <w:tblPrEx>
          <w:tblLayout w:type="fixed"/>
          <w:tblCellMar>
            <w:top w:w="0" w:type="dxa"/>
            <w:left w:w="108" w:type="dxa"/>
            <w:bottom w:w="0" w:type="dxa"/>
            <w:right w:w="108" w:type="dxa"/>
          </w:tblCellMar>
        </w:tblPrEx>
        <w:trPr>
          <w:trHeight w:val="455" w:hRule="atLeast"/>
          <w:jc w:val="center"/>
        </w:trPr>
        <w:tc>
          <w:tcPr>
            <w:tcW w:w="66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ind w:firstLine="0" w:firstLineChars="0"/>
              <w:jc w:val="center"/>
              <w:textAlignment w:val="center"/>
              <w:outlineLvl w:val="9"/>
              <w:rPr>
                <w:rFonts w:hint="default" w:ascii="Times New Roman" w:hAnsi="Times New Roman" w:cs="Times New Roman"/>
                <w:color w:val="000000"/>
                <w:sz w:val="22"/>
              </w:rPr>
            </w:pPr>
          </w:p>
        </w:tc>
        <w:tc>
          <w:tcPr>
            <w:tcW w:w="1157" w:type="dxa"/>
            <w:vMerge w:val="continue"/>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ind w:firstLine="0" w:firstLineChars="0"/>
              <w:jc w:val="center"/>
              <w:outlineLvl w:val="9"/>
              <w:rPr>
                <w:rFonts w:hint="default" w:ascii="Times New Roman" w:hAnsi="Times New Roman" w:cs="Times New Roman"/>
                <w:color w:val="000000"/>
                <w:sz w:val="22"/>
              </w:rPr>
            </w:pPr>
          </w:p>
        </w:tc>
        <w:tc>
          <w:tcPr>
            <w:tcW w:w="144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center"/>
              <w:textAlignment w:val="center"/>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成果利用率</w:t>
            </w:r>
          </w:p>
        </w:tc>
        <w:tc>
          <w:tcPr>
            <w:tcW w:w="6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center"/>
              <w:textAlignment w:val="center"/>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w:t>
            </w:r>
          </w:p>
        </w:tc>
        <w:tc>
          <w:tcPr>
            <w:tcW w:w="89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center"/>
              <w:textAlignment w:val="center"/>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90</w:t>
            </w:r>
          </w:p>
        </w:tc>
        <w:tc>
          <w:tcPr>
            <w:tcW w:w="78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center"/>
              <w:textAlignment w:val="center"/>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w:t>
            </w:r>
          </w:p>
        </w:tc>
        <w:tc>
          <w:tcPr>
            <w:tcW w:w="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center"/>
              <w:textAlignment w:val="center"/>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30</w:t>
            </w:r>
          </w:p>
        </w:tc>
        <w:tc>
          <w:tcPr>
            <w:tcW w:w="9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center"/>
              <w:textAlignment w:val="center"/>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100</w:t>
            </w:r>
          </w:p>
        </w:tc>
        <w:tc>
          <w:tcPr>
            <w:tcW w:w="6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center"/>
              <w:textAlignment w:val="center"/>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30</w:t>
            </w:r>
          </w:p>
        </w:tc>
        <w:tc>
          <w:tcPr>
            <w:tcW w:w="5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center"/>
              <w:textAlignment w:val="center"/>
              <w:outlineLvl w:val="9"/>
              <w:rPr>
                <w:rFonts w:hint="default" w:ascii="Times New Roman" w:hAnsi="Times New Roman" w:eastAsia="方正仿宋_GBK" w:cs="Times New Roman"/>
                <w:sz w:val="18"/>
                <w:szCs w:val="18"/>
              </w:rPr>
            </w:pPr>
          </w:p>
        </w:tc>
        <w:tc>
          <w:tcPr>
            <w:tcW w:w="1399"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ind w:firstLine="0" w:firstLineChars="0"/>
              <w:jc w:val="center"/>
              <w:outlineLvl w:val="9"/>
              <w:rPr>
                <w:rFonts w:hint="default" w:ascii="Times New Roman" w:hAnsi="Times New Roman" w:cs="Times New Roman"/>
                <w:color w:val="000000"/>
                <w:sz w:val="22"/>
              </w:rPr>
            </w:pPr>
          </w:p>
        </w:tc>
      </w:tr>
      <w:tr>
        <w:tblPrEx>
          <w:tblLayout w:type="fixed"/>
          <w:tblCellMar>
            <w:top w:w="0" w:type="dxa"/>
            <w:left w:w="108" w:type="dxa"/>
            <w:bottom w:w="0" w:type="dxa"/>
            <w:right w:w="108" w:type="dxa"/>
          </w:tblCellMar>
        </w:tblPrEx>
        <w:trPr>
          <w:trHeight w:val="650" w:hRule="atLeast"/>
          <w:jc w:val="center"/>
        </w:trPr>
        <w:tc>
          <w:tcPr>
            <w:tcW w:w="66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ind w:firstLine="0" w:firstLineChars="0"/>
              <w:jc w:val="center"/>
              <w:textAlignment w:val="center"/>
              <w:outlineLvl w:val="9"/>
              <w:rPr>
                <w:rFonts w:hint="default" w:ascii="Times New Roman" w:hAnsi="Times New Roman" w:cs="Times New Roman"/>
                <w:color w:val="000000"/>
                <w:sz w:val="22"/>
              </w:rPr>
            </w:pPr>
          </w:p>
        </w:tc>
        <w:tc>
          <w:tcPr>
            <w:tcW w:w="1157" w:type="dxa"/>
            <w:vMerge w:val="continue"/>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ind w:firstLine="0" w:firstLineChars="0"/>
              <w:jc w:val="center"/>
              <w:outlineLvl w:val="9"/>
              <w:rPr>
                <w:rFonts w:hint="default" w:ascii="Times New Roman" w:hAnsi="Times New Roman" w:cs="Times New Roman"/>
                <w:color w:val="000000"/>
                <w:sz w:val="22"/>
              </w:rPr>
            </w:pPr>
          </w:p>
        </w:tc>
        <w:tc>
          <w:tcPr>
            <w:tcW w:w="144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center"/>
              <w:textAlignment w:val="center"/>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预算执行率</w:t>
            </w:r>
          </w:p>
        </w:tc>
        <w:tc>
          <w:tcPr>
            <w:tcW w:w="6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center"/>
              <w:textAlignment w:val="center"/>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w:t>
            </w:r>
          </w:p>
        </w:tc>
        <w:tc>
          <w:tcPr>
            <w:tcW w:w="89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center"/>
              <w:textAlignment w:val="center"/>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100</w:t>
            </w:r>
          </w:p>
        </w:tc>
        <w:tc>
          <w:tcPr>
            <w:tcW w:w="78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center"/>
              <w:textAlignment w:val="center"/>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w:t>
            </w:r>
          </w:p>
        </w:tc>
        <w:tc>
          <w:tcPr>
            <w:tcW w:w="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center"/>
              <w:textAlignment w:val="center"/>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10</w:t>
            </w:r>
          </w:p>
        </w:tc>
        <w:tc>
          <w:tcPr>
            <w:tcW w:w="9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center"/>
              <w:textAlignment w:val="center"/>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100</w:t>
            </w:r>
          </w:p>
        </w:tc>
        <w:tc>
          <w:tcPr>
            <w:tcW w:w="6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center"/>
              <w:textAlignment w:val="center"/>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10</w:t>
            </w:r>
          </w:p>
        </w:tc>
        <w:tc>
          <w:tcPr>
            <w:tcW w:w="5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center"/>
              <w:textAlignment w:val="center"/>
              <w:outlineLvl w:val="9"/>
              <w:rPr>
                <w:rFonts w:hint="default" w:ascii="Times New Roman" w:hAnsi="Times New Roman" w:eastAsia="方正仿宋_GBK" w:cs="Times New Roman"/>
                <w:sz w:val="18"/>
                <w:szCs w:val="18"/>
              </w:rPr>
            </w:pPr>
          </w:p>
        </w:tc>
        <w:tc>
          <w:tcPr>
            <w:tcW w:w="1399"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ind w:firstLine="0" w:firstLineChars="0"/>
              <w:jc w:val="center"/>
              <w:outlineLvl w:val="9"/>
              <w:rPr>
                <w:rFonts w:hint="default" w:ascii="Times New Roman" w:hAnsi="Times New Roman" w:cs="Times New Roman"/>
                <w:color w:val="000000"/>
                <w:sz w:val="22"/>
              </w:rPr>
            </w:pPr>
          </w:p>
        </w:tc>
      </w:tr>
    </w:tbl>
    <w:p>
      <w:pPr>
        <w:pStyle w:val="12"/>
        <w:keepNext w:val="0"/>
        <w:keepLines w:val="0"/>
        <w:pageBreakBefore w:val="0"/>
        <w:widowControl w:val="0"/>
        <w:kinsoku/>
        <w:wordWrap/>
        <w:overflowPunct/>
        <w:topLinePunct w:val="0"/>
        <w:autoSpaceDE w:val="0"/>
        <w:autoSpaceDN/>
        <w:bidi w:val="0"/>
        <w:adjustRightInd/>
        <w:snapToGrid/>
        <w:spacing w:line="560" w:lineRule="exact"/>
        <w:ind w:firstLine="640"/>
        <w:textAlignment w:val="auto"/>
        <w:rPr>
          <w:rFonts w:hint="default" w:ascii="Times New Roman" w:hAnsi="Times New Roman" w:eastAsia="方正楷体_GBK" w:cs="Times New Roman"/>
          <w:b w:val="0"/>
          <w:bCs w:val="0"/>
          <w:sz w:val="32"/>
          <w:szCs w:val="32"/>
          <w:shd w:val="clear" w:color="auto" w:fill="FFFFFF"/>
          <w:lang w:bidi="ar"/>
        </w:rPr>
      </w:pPr>
    </w:p>
    <w:p>
      <w:pPr>
        <w:pStyle w:val="12"/>
        <w:keepNext w:val="0"/>
        <w:keepLines w:val="0"/>
        <w:pageBreakBefore w:val="0"/>
        <w:widowControl w:val="0"/>
        <w:kinsoku/>
        <w:wordWrap/>
        <w:overflowPunct/>
        <w:topLinePunct w:val="0"/>
        <w:autoSpaceDE w:val="0"/>
        <w:autoSpaceDN/>
        <w:bidi w:val="0"/>
        <w:adjustRightInd/>
        <w:snapToGrid/>
        <w:spacing w:line="560" w:lineRule="exact"/>
        <w:ind w:firstLine="640"/>
        <w:textAlignment w:val="auto"/>
        <w:rPr>
          <w:rFonts w:hint="default" w:ascii="Times New Roman" w:hAnsi="Times New Roman" w:eastAsia="方正楷体_GBK" w:cs="Times New Roman"/>
          <w:b w:val="0"/>
          <w:bCs w:val="0"/>
          <w:sz w:val="32"/>
          <w:szCs w:val="32"/>
          <w:shd w:val="clear" w:color="auto" w:fill="FFFFFF"/>
          <w:lang w:bidi="ar"/>
        </w:rPr>
      </w:pPr>
      <w:r>
        <w:rPr>
          <w:rFonts w:hint="default" w:ascii="Times New Roman" w:hAnsi="Times New Roman" w:eastAsia="方正楷体_GBK" w:cs="Times New Roman"/>
          <w:b w:val="0"/>
          <w:bCs w:val="0"/>
          <w:sz w:val="32"/>
          <w:szCs w:val="32"/>
          <w:shd w:val="clear" w:color="auto" w:fill="FFFFFF"/>
          <w:lang w:bidi="ar"/>
        </w:rPr>
        <w:t>（二）</w:t>
      </w:r>
      <w:r>
        <w:rPr>
          <w:rFonts w:hint="eastAsia" w:ascii="Times New Roman" w:hAnsi="Times New Roman" w:eastAsia="方正楷体_GBK" w:cs="Times New Roman"/>
          <w:b w:val="0"/>
          <w:bCs w:val="0"/>
          <w:sz w:val="32"/>
          <w:szCs w:val="32"/>
          <w:shd w:val="clear" w:color="auto" w:fill="FFFFFF"/>
          <w:lang w:eastAsia="zh-CN" w:bidi="ar"/>
        </w:rPr>
        <w:t>部门</w:t>
      </w:r>
      <w:r>
        <w:rPr>
          <w:rFonts w:hint="default" w:ascii="Times New Roman" w:hAnsi="Times New Roman" w:eastAsia="方正楷体_GBK" w:cs="Times New Roman"/>
          <w:b w:val="0"/>
          <w:bCs w:val="0"/>
          <w:sz w:val="32"/>
          <w:szCs w:val="32"/>
          <w:shd w:val="clear" w:color="auto" w:fill="FFFFFF"/>
          <w:lang w:bidi="ar"/>
        </w:rPr>
        <w:t>绩效评价情况</w:t>
      </w:r>
    </w:p>
    <w:p>
      <w:pPr>
        <w:pStyle w:val="17"/>
        <w:keepNext w:val="0"/>
        <w:keepLines w:val="0"/>
        <w:pageBreakBefore w:val="0"/>
        <w:widowControl/>
        <w:kinsoku/>
        <w:wordWrap/>
        <w:overflowPunct/>
        <w:topLinePunct w:val="0"/>
        <w:autoSpaceDE w:val="0"/>
        <w:autoSpaceDN/>
        <w:bidi w:val="0"/>
        <w:adjustRightInd/>
        <w:snapToGrid/>
        <w:spacing w:line="560" w:lineRule="exact"/>
        <w:ind w:left="0" w:leftChars="0" w:firstLine="640" w:firstLineChars="200"/>
        <w:jc w:val="both"/>
        <w:textAlignment w:val="auto"/>
        <w:rPr>
          <w:rFonts w:hint="default" w:ascii="Times New Roman" w:hAnsi="Times New Roman" w:eastAsia="方正仿宋_GBK" w:cs="Times New Roman"/>
          <w:sz w:val="32"/>
          <w:szCs w:val="32"/>
          <w:shd w:val="clear" w:color="auto" w:fill="FFFFFF"/>
          <w:lang w:val="en-US" w:eastAsia="zh-CN" w:bidi="ar-SA"/>
        </w:rPr>
      </w:pPr>
      <w:r>
        <w:rPr>
          <w:rFonts w:hint="default" w:ascii="Times New Roman" w:hAnsi="Times New Roman" w:eastAsia="方正仿宋_GBK" w:cs="Times New Roman"/>
          <w:sz w:val="32"/>
          <w:szCs w:val="32"/>
          <w:shd w:val="clear" w:color="auto" w:fill="FFFFFF"/>
          <w:lang w:val="en-US" w:eastAsia="zh-CN" w:bidi="ar-SA"/>
        </w:rPr>
        <w:t>我单位未组织开展绩效评价。</w:t>
      </w:r>
    </w:p>
    <w:p>
      <w:pPr>
        <w:pStyle w:val="12"/>
        <w:keepNext w:val="0"/>
        <w:keepLines w:val="0"/>
        <w:pageBreakBefore w:val="0"/>
        <w:widowControl w:val="0"/>
        <w:kinsoku/>
        <w:wordWrap/>
        <w:overflowPunct/>
        <w:topLinePunct w:val="0"/>
        <w:autoSpaceDE w:val="0"/>
        <w:autoSpaceDN/>
        <w:bidi w:val="0"/>
        <w:adjustRightInd/>
        <w:snapToGrid/>
        <w:spacing w:line="560" w:lineRule="exact"/>
        <w:ind w:firstLine="640"/>
        <w:textAlignment w:val="auto"/>
        <w:rPr>
          <w:rFonts w:hint="default" w:ascii="Times New Roman" w:hAnsi="Times New Roman" w:eastAsia="方正楷体_GBK" w:cs="Times New Roman"/>
          <w:b w:val="0"/>
          <w:bCs w:val="0"/>
          <w:sz w:val="32"/>
          <w:szCs w:val="32"/>
          <w:shd w:val="clear" w:color="auto" w:fill="FFFFFF"/>
          <w:lang w:bidi="ar"/>
        </w:rPr>
      </w:pPr>
      <w:r>
        <w:rPr>
          <w:rFonts w:hint="default" w:ascii="Times New Roman" w:hAnsi="Times New Roman" w:eastAsia="方正楷体_GBK" w:cs="Times New Roman"/>
          <w:b w:val="0"/>
          <w:bCs w:val="0"/>
          <w:sz w:val="32"/>
          <w:szCs w:val="32"/>
          <w:shd w:val="clear" w:color="auto" w:fill="FFFFFF"/>
          <w:lang w:bidi="ar"/>
        </w:rPr>
        <w:t>（三）财政绩效评价情况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shd w:val="clear" w:color="auto" w:fill="FFFFFF"/>
          <w:lang w:val="en-US" w:eastAsia="zh-CN" w:bidi="ar-SA"/>
        </w:rPr>
      </w:pPr>
      <w:r>
        <w:rPr>
          <w:rFonts w:hint="default" w:ascii="Times New Roman" w:hAnsi="Times New Roman" w:eastAsia="方正仿宋_GBK" w:cs="Times New Roman"/>
          <w:sz w:val="32"/>
          <w:szCs w:val="32"/>
          <w:shd w:val="clear" w:color="auto" w:fill="FFFFFF"/>
          <w:lang w:val="en-US" w:eastAsia="zh-CN" w:bidi="ar-SA"/>
        </w:rPr>
        <w:t>县财政局未委托第三方对我单位开展绩效评价。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Style w:val="9"/>
          <w:rFonts w:hint="default" w:ascii="Times New Roman" w:hAnsi="Times New Roman" w:eastAsia="方正黑体_GBK" w:cs="Times New Roman"/>
          <w:b w:val="0"/>
          <w:bCs/>
          <w:sz w:val="32"/>
          <w:szCs w:val="32"/>
          <w:shd w:val="clear" w:color="auto" w:fill="FFFFFF"/>
          <w:lang w:val="en-US" w:eastAsia="zh-CN"/>
        </w:rPr>
      </w:pPr>
      <w:r>
        <w:rPr>
          <w:rStyle w:val="9"/>
          <w:rFonts w:hint="default" w:ascii="Times New Roman" w:hAnsi="Times New Roman" w:eastAsia="方正黑体_GBK" w:cs="Times New Roman"/>
          <w:b w:val="0"/>
          <w:bCs/>
          <w:sz w:val="32"/>
          <w:szCs w:val="32"/>
          <w:shd w:val="clear" w:color="auto" w:fill="FFFFFF"/>
          <w:lang w:val="en-US" w:eastAsia="zh-CN"/>
        </w:rPr>
        <w:t>六、专业名词解释</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kern w:val="0"/>
          <w:sz w:val="32"/>
          <w:szCs w:val="32"/>
          <w:shd w:val="clear" w:color="auto" w:fill="FFFFFF"/>
          <w:lang w:val="en-US" w:eastAsia="zh-CN" w:bidi="ar"/>
        </w:rPr>
        <w:t> （一）财政拨款收入：</w:t>
      </w:r>
      <w:r>
        <w:rPr>
          <w:rFonts w:hint="default" w:ascii="Times New Roman" w:hAnsi="Times New Roman" w:eastAsia="方正仿宋_GBK" w:cs="Times New Roman"/>
          <w:sz w:val="32"/>
          <w:szCs w:val="32"/>
          <w:shd w:val="clear" w:color="auto" w:fill="FFFFFF"/>
        </w:rPr>
        <w:t>指本年度从本级财政部门取得的财政拨款，包括一般公共预算财政拨款和政府性基金预算财政拨款。</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Style w:val="9"/>
          <w:rFonts w:hint="default" w:ascii="Times New Roman" w:hAnsi="Times New Roman" w:eastAsia="方正仿宋_GBK" w:cs="Times New Roman"/>
          <w:sz w:val="32"/>
          <w:szCs w:val="32"/>
          <w:shd w:val="clear" w:color="auto" w:fill="FFFFFF"/>
        </w:rPr>
        <w:t> （二）事业收入</w:t>
      </w:r>
      <w:r>
        <w:rPr>
          <w:rFonts w:hint="default" w:ascii="Times New Roman" w:hAnsi="Times New Roman" w:eastAsia="方正仿宋_GBK" w:cs="Times New Roman"/>
          <w:sz w:val="32"/>
          <w:szCs w:val="32"/>
          <w:shd w:val="clear" w:color="auto" w:fill="FFFFFF"/>
        </w:rPr>
        <w:t>：指事业单位开展专业业务活动及其辅助活动取得的现金流入；事业单位收到的财政专户实际核拨的教育收费等资金在此反映。</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Style w:val="9"/>
          <w:rFonts w:hint="default" w:ascii="Times New Roman" w:hAnsi="Times New Roman" w:eastAsia="方正仿宋_GBK" w:cs="Times New Roman"/>
          <w:sz w:val="32"/>
          <w:szCs w:val="32"/>
          <w:shd w:val="clear" w:color="auto" w:fill="FFFFFF"/>
        </w:rPr>
        <w:t> （三）经营收入</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：指事业单位在专业业务活动及其辅助活动之外开展非独立核算经营活动取得的现金流入。</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Style w:val="9"/>
          <w:rFonts w:hint="default" w:ascii="Times New Roman" w:hAnsi="Times New Roman" w:eastAsia="方正仿宋_GBK" w:cs="Times New Roman"/>
          <w:sz w:val="32"/>
          <w:szCs w:val="32"/>
          <w:shd w:val="clear" w:color="auto" w:fill="FFFFFF"/>
        </w:rPr>
        <w:t> （四）其他收入</w:t>
      </w:r>
      <w:r>
        <w:rPr>
          <w:rFonts w:hint="default" w:ascii="Times New Roman" w:hAnsi="Times New Roman" w:eastAsia="方正仿宋_GBK" w:cs="Times New Roman"/>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Style w:val="9"/>
          <w:rFonts w:hint="default" w:ascii="Times New Roman" w:hAnsi="Times New Roman" w:eastAsia="方正仿宋_GBK" w:cs="Times New Roman"/>
          <w:sz w:val="32"/>
          <w:szCs w:val="32"/>
          <w:shd w:val="clear" w:color="auto" w:fill="FFFFFF"/>
        </w:rPr>
        <w:t>（五）使用非财政拨款结余</w:t>
      </w:r>
      <w:r>
        <w:rPr>
          <w:rFonts w:hint="default" w:ascii="Times New Roman" w:hAnsi="Times New Roman" w:eastAsia="方正仿宋_GBK" w:cs="Times New Roman"/>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Style w:val="9"/>
          <w:rFonts w:hint="default" w:ascii="Times New Roman" w:hAnsi="Times New Roman" w:eastAsia="方正仿宋_GBK" w:cs="Times New Roman"/>
          <w:sz w:val="32"/>
          <w:szCs w:val="32"/>
          <w:shd w:val="clear" w:color="auto" w:fill="FFFFFF"/>
        </w:rPr>
        <w:t> （六）年初结转和结余</w:t>
      </w:r>
      <w:r>
        <w:rPr>
          <w:rFonts w:hint="default" w:ascii="Times New Roman" w:hAnsi="Times New Roman" w:eastAsia="方正仿宋_GBK" w:cs="Times New Roman"/>
          <w:sz w:val="32"/>
          <w:szCs w:val="32"/>
          <w:shd w:val="clear" w:color="auto" w:fill="FFFFFF"/>
        </w:rPr>
        <w:t>：指单位上年结转本年使用的基本支出结转、项目支出结转和结余、经营结余。</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Style w:val="9"/>
          <w:rFonts w:hint="default" w:ascii="Times New Roman" w:hAnsi="Times New Roman" w:eastAsia="方正仿宋_GBK" w:cs="Times New Roman"/>
          <w:sz w:val="32"/>
          <w:szCs w:val="32"/>
          <w:shd w:val="clear" w:color="auto" w:fill="FFFFFF"/>
        </w:rPr>
        <w:t> （七）结余分配</w:t>
      </w:r>
      <w:r>
        <w:rPr>
          <w:rFonts w:hint="default" w:ascii="Times New Roman" w:hAnsi="Times New Roman" w:eastAsia="方正仿宋_GBK" w:cs="Times New Roman"/>
          <w:sz w:val="32"/>
          <w:szCs w:val="32"/>
          <w:shd w:val="clear" w:color="auto" w:fill="FFFFFF"/>
        </w:rPr>
        <w:t>：指单位按照国家有关规定，缴纳所得税、提取专用基金、转入非财政拨款结余等当年结余的分配情况。</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Style w:val="9"/>
          <w:rFonts w:hint="default" w:ascii="Times New Roman" w:hAnsi="Times New Roman" w:eastAsia="方正仿宋_GBK" w:cs="Times New Roman"/>
          <w:sz w:val="32"/>
          <w:szCs w:val="32"/>
          <w:shd w:val="clear" w:color="auto" w:fill="FFFFFF"/>
        </w:rPr>
        <w:t> （八）年末结转和结余</w:t>
      </w:r>
      <w:r>
        <w:rPr>
          <w:rFonts w:hint="default" w:ascii="Times New Roman" w:hAnsi="Times New Roman" w:eastAsia="方正仿宋_GBK" w:cs="Times New Roman"/>
          <w:sz w:val="32"/>
          <w:szCs w:val="32"/>
          <w:shd w:val="clear" w:color="auto" w:fill="FFFFFF"/>
        </w:rPr>
        <w:t>：指单位结转下年的基本支出结转、项目支出结转和结余、经营结余。</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Style w:val="9"/>
          <w:rFonts w:hint="default" w:ascii="Times New Roman" w:hAnsi="Times New Roman" w:eastAsia="方正仿宋_GBK" w:cs="Times New Roman"/>
          <w:sz w:val="32"/>
          <w:szCs w:val="32"/>
          <w:shd w:val="clear" w:color="auto" w:fill="FFFFFF"/>
        </w:rPr>
        <w:t> （九）基本支出</w:t>
      </w:r>
      <w:r>
        <w:rPr>
          <w:rFonts w:hint="default" w:ascii="Times New Roman" w:hAnsi="Times New Roman" w:eastAsia="方正仿宋_GBK" w:cs="Times New Roman"/>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Style w:val="9"/>
          <w:rFonts w:hint="default" w:ascii="Times New Roman" w:hAnsi="Times New Roman" w:eastAsia="方正仿宋_GBK" w:cs="Times New Roman"/>
          <w:sz w:val="32"/>
          <w:szCs w:val="32"/>
          <w:shd w:val="clear" w:color="auto" w:fill="FFFFFF"/>
        </w:rPr>
        <w:t> （十）项目支出</w:t>
      </w:r>
      <w:r>
        <w:rPr>
          <w:rFonts w:hint="default" w:ascii="Times New Roman" w:hAnsi="Times New Roman" w:eastAsia="方正仿宋_GBK" w:cs="Times New Roman"/>
          <w:sz w:val="32"/>
          <w:szCs w:val="32"/>
          <w:shd w:val="clear" w:color="auto" w:fill="FFFFFF"/>
        </w:rPr>
        <w:t>：指在基本支出之外为完成特定行政任务和事业发展目标所发生的支出。</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Style w:val="9"/>
          <w:rFonts w:hint="default" w:ascii="Times New Roman" w:hAnsi="Times New Roman" w:eastAsia="方正仿宋_GBK" w:cs="Times New Roman"/>
          <w:sz w:val="32"/>
          <w:szCs w:val="32"/>
          <w:shd w:val="clear" w:color="auto" w:fill="FFFFFF"/>
        </w:rPr>
        <w:t> （十一）经营支出</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：指事业单位在专业业务活动及其辅助活动之外开展非独立核算经营活动发生的支出。</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Style w:val="9"/>
          <w:rFonts w:hint="default" w:ascii="Times New Roman" w:hAnsi="Times New Roman" w:eastAsia="方正仿宋_GBK" w:cs="Times New Roman"/>
          <w:sz w:val="32"/>
          <w:szCs w:val="32"/>
          <w:shd w:val="clear" w:color="auto" w:fill="FFFFFF"/>
        </w:rPr>
        <w:t> （十二）“三公”经费</w:t>
      </w:r>
      <w:r>
        <w:rPr>
          <w:rFonts w:hint="default" w:ascii="Times New Roman" w:hAnsi="Times New Roman" w:eastAsia="方正仿宋_GBK" w:cs="Times New Roman"/>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Style w:val="9"/>
          <w:rFonts w:hint="default" w:ascii="Times New Roman" w:hAnsi="Times New Roman" w:eastAsia="方正仿宋_GBK" w:cs="Times New Roman"/>
          <w:sz w:val="32"/>
          <w:szCs w:val="32"/>
          <w:shd w:val="clear" w:color="auto" w:fill="FFFFFF"/>
        </w:rPr>
        <w:t> （十三）机关运行经费</w:t>
      </w:r>
      <w:r>
        <w:rPr>
          <w:rFonts w:hint="default" w:ascii="Times New Roman" w:hAnsi="Times New Roman" w:eastAsia="方正仿宋_GBK" w:cs="Times New Roman"/>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Style w:val="9"/>
          <w:rFonts w:hint="default" w:ascii="Times New Roman" w:hAnsi="Times New Roman" w:eastAsia="方正仿宋_GBK" w:cs="Times New Roman"/>
          <w:sz w:val="32"/>
          <w:szCs w:val="32"/>
          <w:shd w:val="clear" w:color="auto" w:fill="FFFFFF"/>
        </w:rPr>
        <w:t> （十四）工资福利支出（支出经济分类科目类级）</w:t>
      </w:r>
      <w:r>
        <w:rPr>
          <w:rFonts w:hint="default" w:ascii="Times New Roman" w:hAnsi="Times New Roman" w:eastAsia="方正仿宋_GBK" w:cs="Times New Roman"/>
          <w:sz w:val="32"/>
          <w:szCs w:val="32"/>
          <w:shd w:val="clear" w:color="auto" w:fill="FFFFFF"/>
        </w:rPr>
        <w:t>：反映单位开支的在职职工和编制外长期聘用人员的各类劳动报酬，以及为上述人员缴纳的各项社会保险费等。</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Style w:val="9"/>
          <w:rFonts w:hint="default" w:ascii="Times New Roman" w:hAnsi="Times New Roman" w:eastAsia="方正仿宋_GBK" w:cs="Times New Roman"/>
          <w:sz w:val="32"/>
          <w:szCs w:val="32"/>
          <w:shd w:val="clear" w:color="auto" w:fill="FFFFFF"/>
        </w:rPr>
        <w:t> （十五）商品和服务支出（支出经济分类科目类级）</w:t>
      </w:r>
      <w:r>
        <w:rPr>
          <w:rFonts w:hint="default" w:ascii="Times New Roman" w:hAnsi="Times New Roman" w:eastAsia="方正仿宋_GBK" w:cs="Times New Roman"/>
          <w:sz w:val="32"/>
          <w:szCs w:val="32"/>
          <w:shd w:val="clear" w:color="auto" w:fill="FFFFFF"/>
        </w:rPr>
        <w:t>：反映单位购买商品和服务的支出（不包括用于购置固定资产的支出、战略性和应急储备支出）。</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shd w:val="clear" w:color="auto" w:fill="FFFFFF"/>
        </w:rPr>
      </w:pPr>
      <w:r>
        <w:rPr>
          <w:rStyle w:val="9"/>
          <w:rFonts w:hint="default" w:ascii="Times New Roman" w:hAnsi="Times New Roman" w:eastAsia="方正仿宋_GBK" w:cs="Times New Roman"/>
          <w:sz w:val="32"/>
          <w:szCs w:val="32"/>
          <w:shd w:val="clear" w:color="auto" w:fill="FFFFFF"/>
        </w:rPr>
        <w:t> （十六）对个人和家庭的补助（支出经济分类科目类级）</w:t>
      </w:r>
      <w:r>
        <w:rPr>
          <w:rFonts w:hint="default" w:ascii="Times New Roman" w:hAnsi="Times New Roman" w:eastAsia="方正仿宋_GBK" w:cs="Times New Roman"/>
          <w:sz w:val="32"/>
          <w:szCs w:val="32"/>
          <w:shd w:val="clear" w:color="auto" w:fill="FFFFFF"/>
        </w:rPr>
        <w:t>：反映用于对个人和家庭的补助支出。</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shd w:val="clear" w:color="auto" w:fill="FFFFFF"/>
        </w:rPr>
      </w:pPr>
      <w:r>
        <w:rPr>
          <w:rStyle w:val="9"/>
          <w:rFonts w:hint="default" w:ascii="Times New Roman" w:hAnsi="Times New Roman" w:eastAsia="方正仿宋_GBK" w:cs="Times New Roman"/>
          <w:sz w:val="32"/>
          <w:szCs w:val="32"/>
          <w:shd w:val="clear" w:color="auto" w:fill="FFFFFF"/>
        </w:rPr>
        <w:t>（十七）其他资本性支出（支出经济分类科目类级）</w:t>
      </w:r>
      <w:r>
        <w:rPr>
          <w:rFonts w:hint="default" w:ascii="Times New Roman" w:hAnsi="Times New Roman" w:eastAsia="方正仿宋_GBK" w:cs="Times New Roman"/>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Style w:val="9"/>
          <w:rFonts w:hint="default" w:ascii="Times New Roman" w:hAnsi="Times New Roman" w:eastAsia="方正黑体_GBK" w:cs="Times New Roman"/>
          <w:b w:val="0"/>
          <w:bCs/>
          <w:sz w:val="32"/>
          <w:szCs w:val="32"/>
          <w:shd w:val="clear" w:color="auto" w:fill="FFFFFF"/>
          <w:lang w:val="en-US" w:eastAsia="zh-CN"/>
        </w:rPr>
      </w:pPr>
      <w:r>
        <w:rPr>
          <w:rStyle w:val="9"/>
          <w:rFonts w:hint="default" w:ascii="Times New Roman" w:hAnsi="Times New Roman" w:eastAsia="方正黑体_GBK" w:cs="Times New Roman"/>
          <w:b w:val="0"/>
          <w:bCs/>
          <w:sz w:val="32"/>
          <w:szCs w:val="32"/>
          <w:shd w:val="clear" w:color="auto" w:fill="FFFFFF"/>
          <w:lang w:val="en-US" w:eastAsia="zh-CN"/>
        </w:rPr>
        <w:t>七、决算公开联系方式及信息反馈渠道</w:t>
      </w:r>
    </w:p>
    <w:p>
      <w:pPr>
        <w:pStyle w:val="12"/>
        <w:keepNext w:val="0"/>
        <w:keepLines w:val="0"/>
        <w:pageBreakBefore w:val="0"/>
        <w:widowControl/>
        <w:kinsoku/>
        <w:wordWrap/>
        <w:overflowPunct/>
        <w:topLinePunct w:val="0"/>
        <w:autoSpaceDE w:val="0"/>
        <w:autoSpaceDN/>
        <w:bidi w:val="0"/>
        <w:adjustRightInd/>
        <w:snapToGrid/>
        <w:spacing w:line="560" w:lineRule="exact"/>
        <w:ind w:firstLine="640" w:firstLineChars="200"/>
        <w:jc w:val="both"/>
        <w:textAlignment w:val="auto"/>
        <w:outlineLvl w:val="9"/>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本</w:t>
      </w:r>
      <w:r>
        <w:rPr>
          <w:rFonts w:hint="default" w:ascii="Times New Roman" w:hAnsi="Times New Roman" w:eastAsia="方正仿宋_GBK" w:cs="Times New Roman"/>
          <w:sz w:val="32"/>
          <w:szCs w:val="32"/>
          <w:shd w:val="clear" w:color="auto" w:fill="FFFFFF"/>
          <w:lang w:val="en-US" w:eastAsia="zh-CN" w:bidi="ar-SA"/>
        </w:rPr>
        <w:t>部门</w:t>
      </w:r>
      <w:r>
        <w:rPr>
          <w:rFonts w:hint="default" w:ascii="Times New Roman" w:hAnsi="Times New Roman" w:eastAsia="方正仿宋_GBK" w:cs="Times New Roman"/>
          <w:sz w:val="32"/>
          <w:szCs w:val="32"/>
          <w:shd w:val="clear" w:color="auto" w:fill="FFFFFF"/>
        </w:rPr>
        <w:t>决算公开信息反馈和联系方式：</w:t>
      </w:r>
    </w:p>
    <w:p>
      <w:pPr>
        <w:ind w:firstLine="640" w:firstLineChars="200"/>
        <w:rPr>
          <w:rStyle w:val="9"/>
          <w:rFonts w:hint="default" w:ascii="Times New Roman" w:hAnsi="Times New Roman" w:eastAsia="方正仿宋_GBK" w:cs="Times New Roman"/>
          <w:sz w:val="32"/>
          <w:szCs w:val="32"/>
          <w:shd w:val="clear" w:color="auto" w:fill="FFFF00"/>
        </w:rPr>
      </w:pPr>
      <w:r>
        <w:rPr>
          <w:rFonts w:hint="default" w:ascii="Times New Roman" w:hAnsi="Times New Roman" w:eastAsia="方正仿宋_GBK" w:cs="Times New Roman"/>
          <w:sz w:val="32"/>
          <w:szCs w:val="32"/>
          <w:shd w:val="clear" w:color="auto" w:fill="FFFFFF"/>
          <w:lang w:val="en-US" w:eastAsia="zh-CN"/>
        </w:rPr>
        <w:t>联系人：刘先毅   联系电话：023-76666019</w:t>
      </w:r>
    </w:p>
    <w:p>
      <w:pPr>
        <w:pStyle w:val="12"/>
        <w:autoSpaceDE w:val="0"/>
        <w:ind w:firstLine="0" w:firstLineChars="0"/>
        <w:rPr>
          <w:rStyle w:val="9"/>
          <w:rFonts w:hint="default" w:ascii="Times New Roman" w:hAnsi="Times New Roman" w:eastAsia="方正仿宋_GBK" w:cs="Times New Roman"/>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p>
      <w:pPr>
        <w:rPr>
          <w:rFonts w:hint="default" w:ascii="Times New Roman" w:hAnsi="Times New Roman" w:cs="Times New Roman"/>
          <w:sz w:val="21"/>
          <w:szCs w:val="21"/>
        </w:rPr>
      </w:pPr>
    </w:p>
    <w:tbl>
      <w:tblPr>
        <w:tblStyle w:val="10"/>
        <w:tblW w:w="15337" w:type="dxa"/>
        <w:tblInd w:w="0" w:type="dxa"/>
        <w:tblLayout w:type="fixed"/>
        <w:tblCellMar>
          <w:top w:w="0" w:type="dxa"/>
          <w:left w:w="0" w:type="dxa"/>
          <w:bottom w:w="0" w:type="dxa"/>
          <w:right w:w="0" w:type="dxa"/>
        </w:tblCellMar>
      </w:tblPr>
      <w:tblGrid>
        <w:gridCol w:w="5105"/>
        <w:gridCol w:w="2012"/>
        <w:gridCol w:w="4791"/>
        <w:gridCol w:w="3429"/>
      </w:tblGrid>
      <w:tr>
        <w:tblPrEx>
          <w:tblLayout w:type="fixed"/>
          <w:tblCellMar>
            <w:top w:w="0" w:type="dxa"/>
            <w:left w:w="0" w:type="dxa"/>
            <w:bottom w:w="0" w:type="dxa"/>
            <w:right w:w="0" w:type="dxa"/>
          </w:tblCellMar>
        </w:tblPrEx>
        <w:trPr>
          <w:trHeight w:val="232" w:hRule="atLeast"/>
        </w:trPr>
        <w:tc>
          <w:tcPr>
            <w:tcW w:w="15337" w:type="dxa"/>
            <w:gridSpan w:val="4"/>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收入支出决算总表</w:t>
            </w:r>
          </w:p>
        </w:tc>
      </w:tr>
      <w:tr>
        <w:tblPrEx>
          <w:tblLayout w:type="fixed"/>
          <w:tblCellMar>
            <w:top w:w="0" w:type="dxa"/>
            <w:left w:w="0" w:type="dxa"/>
            <w:bottom w:w="0" w:type="dxa"/>
            <w:right w:w="0" w:type="dxa"/>
          </w:tblCellMar>
        </w:tblPrEx>
        <w:trPr>
          <w:trHeight w:val="232" w:hRule="atLeast"/>
        </w:trPr>
        <w:tc>
          <w:tcPr>
            <w:tcW w:w="5105"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20"/>
                <w:szCs w:val="20"/>
              </w:rPr>
            </w:pPr>
          </w:p>
        </w:tc>
        <w:tc>
          <w:tcPr>
            <w:tcW w:w="2012" w:type="dxa"/>
            <w:tcBorders>
              <w:top w:val="nil"/>
              <w:left w:val="nil"/>
              <w:bottom w:val="nil"/>
              <w:right w:val="nil"/>
            </w:tcBorders>
            <w:shd w:val="clear" w:color="auto" w:fill="auto"/>
            <w:tcMar>
              <w:top w:w="15" w:type="dxa"/>
              <w:left w:w="15" w:type="dxa"/>
              <w:right w:w="15" w:type="dxa"/>
            </w:tcMar>
            <w:vAlign w:val="bottom"/>
          </w:tcPr>
          <w:p>
            <w:pPr>
              <w:spacing w:line="200" w:lineRule="exact"/>
              <w:jc w:val="right"/>
              <w:rPr>
                <w:rFonts w:hint="default" w:ascii="Times New Roman" w:hAnsi="Times New Roman" w:cs="Times New Roman"/>
                <w:color w:val="000000"/>
                <w:sz w:val="20"/>
                <w:szCs w:val="20"/>
              </w:rPr>
            </w:pPr>
          </w:p>
        </w:tc>
        <w:tc>
          <w:tcPr>
            <w:tcW w:w="4791"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20"/>
                <w:szCs w:val="20"/>
              </w:rPr>
            </w:pPr>
          </w:p>
        </w:tc>
        <w:tc>
          <w:tcPr>
            <w:tcW w:w="3429"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公开01表</w:t>
            </w:r>
          </w:p>
        </w:tc>
      </w:tr>
      <w:tr>
        <w:tblPrEx>
          <w:tblLayout w:type="fixed"/>
          <w:tblCellMar>
            <w:top w:w="0" w:type="dxa"/>
            <w:left w:w="0" w:type="dxa"/>
            <w:bottom w:w="0" w:type="dxa"/>
            <w:right w:w="0" w:type="dxa"/>
          </w:tblCellMar>
        </w:tblPrEx>
        <w:trPr>
          <w:trHeight w:val="232" w:hRule="atLeast"/>
        </w:trPr>
        <w:tc>
          <w:tcPr>
            <w:tcW w:w="7117" w:type="dxa"/>
            <w:gridSpan w:val="2"/>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22"/>
                <w:szCs w:val="22"/>
              </w:rPr>
            </w:pPr>
            <w:r>
              <w:rPr>
                <w:rFonts w:hint="default" w:ascii="Times New Roman" w:hAnsi="Times New Roman" w:cs="Times New Roman"/>
                <w:sz w:val="20"/>
                <w:szCs w:val="20"/>
              </w:rPr>
              <w:t>公开部门：</w:t>
            </w:r>
            <w:r>
              <w:rPr>
                <w:rFonts w:hint="default" w:ascii="Times New Roman" w:hAnsi="Times New Roman" w:cs="Times New Roman"/>
                <w:sz w:val="20"/>
                <w:u w:color="auto"/>
              </w:rPr>
              <w:t>重庆市秀山土家族苗族自治县发展和改革委员会</w:t>
            </w:r>
          </w:p>
        </w:tc>
        <w:tc>
          <w:tcPr>
            <w:tcW w:w="4791"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22"/>
                <w:szCs w:val="22"/>
              </w:rPr>
            </w:pPr>
          </w:p>
        </w:tc>
        <w:tc>
          <w:tcPr>
            <w:tcW w:w="3429"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Layout w:type="fixed"/>
          <w:tblCellMar>
            <w:top w:w="0" w:type="dxa"/>
            <w:left w:w="0" w:type="dxa"/>
            <w:bottom w:w="0" w:type="dxa"/>
            <w:right w:w="0" w:type="dxa"/>
          </w:tblCellMar>
        </w:tblPrEx>
        <w:trPr>
          <w:trHeight w:val="243" w:hRule="atLeast"/>
        </w:trPr>
        <w:tc>
          <w:tcPr>
            <w:tcW w:w="7117"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收入</w:t>
            </w:r>
          </w:p>
        </w:tc>
        <w:tc>
          <w:tcPr>
            <w:tcW w:w="8220" w:type="dxa"/>
            <w:gridSpan w:val="2"/>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支出</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2012"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决算数</w:t>
            </w: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w:t>
            </w:r>
          </w:p>
        </w:tc>
        <w:tc>
          <w:tcPr>
            <w:tcW w:w="342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决算数</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一、一般公共预算财政拨款收入</w:t>
            </w: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2,253.04</w:t>
            </w:r>
            <w:r>
              <w:rPr>
                <w:rFonts w:hint="default" w:ascii="Times New Roman" w:hAnsi="Times New Roman" w:cs="Times New Roman"/>
                <w:color w:val="000000"/>
                <w:sz w:val="20"/>
                <w:u w:color="auto"/>
              </w:rPr>
              <w:t xml:space="preserve"> </w:t>
            </w: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一、一般公共服务支出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1,409.47</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二、政府性基金预算财政拨款收入</w:t>
            </w: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二、外交支出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三、国有资本经营预算财政拨款收入</w:t>
            </w: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三、国防支出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四、上级补助收入</w:t>
            </w: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四、公共安全支出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五、事业收入</w:t>
            </w: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五、教育支出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六、经营收入</w:t>
            </w: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六、科学技术支出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七、附属单位上缴收入</w:t>
            </w: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七、文化旅游体育与传媒支出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八、其他收入</w:t>
            </w:r>
          </w:p>
        </w:tc>
        <w:tc>
          <w:tcPr>
            <w:tcW w:w="2012" w:type="dxa"/>
            <w:tcBorders>
              <w:top w:val="nil"/>
              <w:left w:val="nil"/>
              <w:bottom w:val="nil"/>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八、社会保障和就业支出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174.18</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Times New Roman" w:hAnsi="Times New Roman" w:cs="Times New Roman"/>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九、卫生健康支出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45.22</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Times New Roman" w:hAnsi="Times New Roman" w:cs="Times New Roman"/>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十、节能环保支出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Times New Roman" w:hAnsi="Times New Roman" w:cs="Times New Roman"/>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十一、城乡社区支出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Times New Roman" w:hAnsi="Times New Roman" w:cs="Times New Roman"/>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十二、农林水支出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22.64</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十三、交通运输支出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十四、资源勘探工业信息等支出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十五、商业服务业等支出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十六、金融支出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十七、援助其他地区支出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十八、自然资源海洋气象等支出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十九、住房保障支出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78.14</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二十、粮油物资储备支出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515.81</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二十一、国有资本经营预算支出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二十二、灾害防治及应急管理支出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7.59</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二十三、其他支出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rPr>
                <w:rFonts w:hint="default" w:ascii="Times New Roman" w:hAnsi="Times New Roman" w:cs="Times New Roman"/>
                <w:b/>
                <w:color w:val="000000"/>
                <w:sz w:val="20"/>
                <w:szCs w:val="20"/>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二十四、债务还本支出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二十五、债务付息支出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二十六、抗疫特别国债安排的支出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本年收入合计</w:t>
            </w: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2,253.04</w:t>
            </w:r>
            <w:r>
              <w:rPr>
                <w:rFonts w:hint="default" w:ascii="Times New Roman" w:hAnsi="Times New Roman" w:cs="Times New Roman"/>
                <w:color w:val="000000"/>
                <w:sz w:val="20"/>
                <w:u w:color="auto"/>
              </w:rPr>
              <w:t xml:space="preserve"> </w:t>
            </w: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本年支出合计</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2,253.04</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使用非财政拨款结余和专用结余</w:t>
            </w: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结余分配</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年初结转和结余</w:t>
            </w: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年末结转和结余</w:t>
            </w:r>
          </w:p>
        </w:tc>
        <w:tc>
          <w:tcPr>
            <w:tcW w:w="3429"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5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总计</w:t>
            </w: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2,253.04</w:t>
            </w:r>
            <w:r>
              <w:rPr>
                <w:rFonts w:hint="default" w:ascii="Times New Roman" w:hAnsi="Times New Roman" w:cs="Times New Roman"/>
                <w:color w:val="000000"/>
                <w:sz w:val="20"/>
                <w:u w:color="auto"/>
              </w:rPr>
              <w:t xml:space="preserve"> </w:t>
            </w:r>
          </w:p>
        </w:tc>
        <w:tc>
          <w:tcPr>
            <w:tcW w:w="4791" w:type="dxa"/>
            <w:tcBorders>
              <w:top w:val="nil"/>
              <w:left w:val="nil"/>
              <w:bottom w:val="single" w:color="000000" w:sz="4" w:space="0"/>
              <w:right w:val="single" w:color="auto"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总计</w:t>
            </w:r>
          </w:p>
        </w:tc>
        <w:tc>
          <w:tcPr>
            <w:tcW w:w="34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2,253.04</w:t>
            </w:r>
            <w:r>
              <w:rPr>
                <w:rFonts w:hint="default" w:ascii="Times New Roman" w:hAnsi="Times New Roman" w:cs="Times New Roman"/>
                <w:color w:val="000000"/>
                <w:sz w:val="20"/>
                <w:u w:color="auto"/>
              </w:rPr>
              <w:t xml:space="preserve"> </w:t>
            </w:r>
          </w:p>
        </w:tc>
      </w:tr>
    </w:tbl>
    <w:p>
      <w:pPr>
        <w:spacing w:line="240" w:lineRule="exact"/>
        <w:rPr>
          <w:rFonts w:hint="default" w:ascii="Times New Roman" w:hAnsi="Times New Roman" w:cs="Times New Roman"/>
          <w:sz w:val="20"/>
          <w:szCs w:val="20"/>
        </w:rPr>
      </w:pPr>
      <w:r>
        <w:rPr>
          <w:rFonts w:hint="default" w:ascii="Times New Roman" w:hAnsi="Times New Roman" w:cs="Times New Roman"/>
          <w:sz w:val="20"/>
          <w:szCs w:val="20"/>
        </w:rPr>
        <w:t>备注：1.本表反映部门本年度的总收支和年末结转结余情况。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tbl>
      <w:tblPr>
        <w:tblStyle w:val="10"/>
        <w:tblW w:w="15322" w:type="dxa"/>
        <w:tblInd w:w="0" w:type="dxa"/>
        <w:tblLayout w:type="fixed"/>
        <w:tblCellMar>
          <w:top w:w="0" w:type="dxa"/>
          <w:left w:w="0" w:type="dxa"/>
          <w:bottom w:w="0" w:type="dxa"/>
          <w:right w:w="0" w:type="dxa"/>
        </w:tblCellMar>
      </w:tblPr>
      <w:tblGrid>
        <w:gridCol w:w="1694"/>
        <w:gridCol w:w="3159"/>
        <w:gridCol w:w="1229"/>
        <w:gridCol w:w="1229"/>
        <w:gridCol w:w="1229"/>
        <w:gridCol w:w="1229"/>
        <w:gridCol w:w="1361"/>
        <w:gridCol w:w="1302"/>
        <w:gridCol w:w="1434"/>
        <w:gridCol w:w="1456"/>
      </w:tblGrid>
      <w:tr>
        <w:tblPrEx>
          <w:tblLayout w:type="fixed"/>
          <w:tblCellMar>
            <w:top w:w="0" w:type="dxa"/>
            <w:left w:w="0" w:type="dxa"/>
            <w:bottom w:w="0" w:type="dxa"/>
            <w:right w:w="0" w:type="dxa"/>
          </w:tblCellMar>
        </w:tblPrEx>
        <w:trPr>
          <w:trHeight w:val="641" w:hRule="atLeast"/>
        </w:trPr>
        <w:tc>
          <w:tcPr>
            <w:tcW w:w="15322" w:type="dxa"/>
            <w:gridSpan w:val="10"/>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收入决算表</w:t>
            </w:r>
          </w:p>
        </w:tc>
      </w:tr>
      <w:tr>
        <w:tblPrEx>
          <w:tblLayout w:type="fixed"/>
          <w:tblCellMar>
            <w:top w:w="0" w:type="dxa"/>
            <w:left w:w="0" w:type="dxa"/>
            <w:bottom w:w="0" w:type="dxa"/>
            <w:right w:w="0" w:type="dxa"/>
          </w:tblCellMar>
        </w:tblPrEx>
        <w:trPr>
          <w:trHeight w:val="328" w:hRule="atLeast"/>
        </w:trPr>
        <w:tc>
          <w:tcPr>
            <w:tcW w:w="6082"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r>
              <w:rPr>
                <w:rFonts w:hint="default" w:ascii="Times New Roman" w:hAnsi="Times New Roman" w:cs="Times New Roman"/>
                <w:sz w:val="20"/>
                <w:szCs w:val="20"/>
              </w:rPr>
              <w:t>公开部门：</w:t>
            </w:r>
            <w:r>
              <w:rPr>
                <w:rFonts w:hint="default" w:ascii="Times New Roman" w:hAnsi="Times New Roman" w:cs="Times New Roman"/>
                <w:sz w:val="20"/>
                <w:u w:color="auto"/>
              </w:rPr>
              <w:t>重庆市秀山土家族苗族自治县发展和改革委员会</w:t>
            </w:r>
          </w:p>
        </w:tc>
        <w:tc>
          <w:tcPr>
            <w:tcW w:w="1229"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229"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229"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361"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302"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434"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456"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公开02表</w:t>
            </w:r>
          </w:p>
        </w:tc>
      </w:tr>
      <w:tr>
        <w:tblPrEx>
          <w:tblLayout w:type="fixed"/>
          <w:tblCellMar>
            <w:top w:w="0" w:type="dxa"/>
            <w:left w:w="0" w:type="dxa"/>
            <w:bottom w:w="0" w:type="dxa"/>
            <w:right w:w="0" w:type="dxa"/>
          </w:tblCellMar>
        </w:tblPrEx>
        <w:trPr>
          <w:trHeight w:val="328" w:hRule="atLeast"/>
        </w:trPr>
        <w:tc>
          <w:tcPr>
            <w:tcW w:w="6082"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229"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229"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229"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361"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302"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434"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456"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Layout w:type="fixed"/>
          <w:tblCellMar>
            <w:top w:w="0" w:type="dxa"/>
            <w:left w:w="0" w:type="dxa"/>
            <w:bottom w:w="0" w:type="dxa"/>
            <w:right w:w="0" w:type="dxa"/>
          </w:tblCellMar>
        </w:tblPrEx>
        <w:trPr>
          <w:trHeight w:val="431" w:hRule="atLeast"/>
        </w:trPr>
        <w:tc>
          <w:tcPr>
            <w:tcW w:w="4853" w:type="dxa"/>
            <w:gridSpan w:val="2"/>
            <w:tcBorders>
              <w:top w:val="single" w:color="000000" w:sz="4" w:space="0"/>
              <w:left w:val="single" w:color="000000" w:sz="4" w:space="0"/>
              <w:bottom w:val="single" w:color="000000" w:sz="4" w:space="0"/>
              <w:right w:val="nil"/>
            </w:tcBorders>
            <w:shd w:val="clear" w:color="auto" w:fill="D0CECE"/>
            <w:tcMar>
              <w:top w:w="15" w:type="dxa"/>
              <w:left w:w="15" w:type="dxa"/>
              <w:right w:w="15" w:type="dxa"/>
            </w:tcMar>
            <w:vAlign w:val="bottom"/>
          </w:tcPr>
          <w:p>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122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本年收入合计</w:t>
            </w:r>
          </w:p>
        </w:tc>
        <w:tc>
          <w:tcPr>
            <w:tcW w:w="122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财政拨款收入</w:t>
            </w:r>
          </w:p>
        </w:tc>
        <w:tc>
          <w:tcPr>
            <w:tcW w:w="122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上级补助收入</w:t>
            </w:r>
          </w:p>
        </w:tc>
        <w:tc>
          <w:tcPr>
            <w:tcW w:w="2590"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事业收入</w:t>
            </w:r>
          </w:p>
        </w:tc>
        <w:tc>
          <w:tcPr>
            <w:tcW w:w="1302"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经营收入</w:t>
            </w:r>
          </w:p>
        </w:tc>
        <w:tc>
          <w:tcPr>
            <w:tcW w:w="143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附属单位上缴收入</w:t>
            </w:r>
          </w:p>
        </w:tc>
        <w:tc>
          <w:tcPr>
            <w:tcW w:w="145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其他收入</w:t>
            </w:r>
          </w:p>
        </w:tc>
      </w:tr>
      <w:tr>
        <w:tblPrEx>
          <w:tblLayout w:type="fixed"/>
          <w:tblCellMar>
            <w:top w:w="0" w:type="dxa"/>
            <w:left w:w="0" w:type="dxa"/>
            <w:bottom w:w="0" w:type="dxa"/>
            <w:right w:w="0" w:type="dxa"/>
          </w:tblCellMar>
        </w:tblPrEx>
        <w:trPr>
          <w:trHeight w:val="334" w:hRule="atLeast"/>
        </w:trPr>
        <w:tc>
          <w:tcPr>
            <w:tcW w:w="1694"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3159"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2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小计</w:t>
            </w:r>
          </w:p>
        </w:tc>
        <w:tc>
          <w:tcPr>
            <w:tcW w:w="136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其中：教育收费</w:t>
            </w:r>
          </w:p>
        </w:tc>
        <w:tc>
          <w:tcPr>
            <w:tcW w:w="130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43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45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4" w:hRule="atLeast"/>
        </w:trPr>
        <w:tc>
          <w:tcPr>
            <w:tcW w:w="169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159"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30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43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45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4" w:hRule="atLeast"/>
        </w:trPr>
        <w:tc>
          <w:tcPr>
            <w:tcW w:w="169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159"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30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43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45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4" w:hRule="atLeast"/>
        </w:trPr>
        <w:tc>
          <w:tcPr>
            <w:tcW w:w="169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159"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30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43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45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8" w:hRule="atLeast"/>
        </w:trPr>
        <w:tc>
          <w:tcPr>
            <w:tcW w:w="4853"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2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2,253.04</w:t>
            </w:r>
            <w:r>
              <w:rPr>
                <w:rFonts w:hint="default" w:ascii="Times New Roman" w:hAnsi="Times New Roman" w:cs="Times New Roman"/>
                <w:b/>
                <w:color w:val="000000"/>
                <w:sz w:val="20"/>
                <w:u w:color="auto"/>
              </w:rPr>
              <w:t xml:space="preserve"> </w:t>
            </w:r>
          </w:p>
        </w:tc>
        <w:tc>
          <w:tcPr>
            <w:tcW w:w="12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2,253.04</w:t>
            </w:r>
            <w:r>
              <w:rPr>
                <w:rFonts w:hint="default" w:ascii="Times New Roman" w:hAnsi="Times New Roman" w:cs="Times New Roman"/>
                <w:b/>
                <w:color w:val="000000"/>
                <w:sz w:val="20"/>
                <w:u w:color="auto"/>
              </w:rPr>
              <w:t xml:space="preserve"> </w:t>
            </w:r>
          </w:p>
        </w:tc>
        <w:tc>
          <w:tcPr>
            <w:tcW w:w="12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2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3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3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4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4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一般公共服务支出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1,409.47</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1,409.47</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20104</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发展与改革事务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1,408.17</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1,408.17</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2010401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行政运行</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680.10</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680.10</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2010402</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一般行政管理事务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54.50</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54.50</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2010406</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社会事业发展规划</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213.71</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213.71</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2010408</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物价管理</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31.40</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31.40</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2010450</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事业运行</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322.03</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322.03</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2010499</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其他发展与改革事务支出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106.44</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106.44</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20199</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其他一般公共服务支出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1.30</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1.30</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2019999</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其他一般公共服务支出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1.30</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1.30</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社会保障和就业支出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174.18</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174.18</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20805</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行政事业单位养老支出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173.87</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173.87</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行政单位离退休</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47.20</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47.20</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2080505</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机关事业单位基本养老保险缴费支出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84.71</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84.71</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2080506</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机关事业单位职业年金缴费支出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41.96</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41.96</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20899</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其他社会保障和就业支出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0.30</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0.30</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2089999</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其他社会保障和就业支出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0.30</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0.30</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卫生健康支出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45.22</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45.22</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行政事业单位医疗</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45.22</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45.22</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行政单位医疗</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25.48</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25.48</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2101102</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事业单位医疗</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19.74</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19.74</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农林水支出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22.64</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22.64</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21305</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巩固脱贫攻坚成果衔接乡村振兴</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22.64</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22.64</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2130599</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其他巩固脱贫攻坚成果衔接乡村振兴支出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22.64</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22.64</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住房保障支出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78.14</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78.14</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22102</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住房改革支出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78.14</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78.14</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2210201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住房公积金</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78.14</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78.14</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222</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粮油物资储备支出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515.81</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515.81</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22204</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粮油储备</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515.81</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515.81</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2220499</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其他粮油储备支出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515.81</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515.81</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224</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灾害防治及应急管理支出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7.59</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7.59</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22401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应急管理事务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7.59</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7.59</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2240109</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应急管理</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7.59</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7.59</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bl>
    <w:p>
      <w:pPr>
        <w:ind w:left="600" w:hanging="600" w:hangingChars="300"/>
        <w:rPr>
          <w:rFonts w:hint="default" w:ascii="Times New Roman" w:hAnsi="Times New Roman" w:cs="Times New Roman"/>
          <w:sz w:val="20"/>
          <w:szCs w:val="20"/>
        </w:rPr>
      </w:pPr>
      <w:r>
        <w:rPr>
          <w:rFonts w:hint="default" w:ascii="Times New Roman" w:hAnsi="Times New Roman" w:cs="Times New Roman"/>
          <w:sz w:val="20"/>
          <w:szCs w:val="20"/>
        </w:rPr>
        <w:t>备注：1.本表反映部门本年度取得的各项收入情况。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pPr>
        <w:rPr>
          <w:rFonts w:hint="default" w:ascii="Times New Roman" w:hAnsi="Times New Roman" w:cs="Times New Roman"/>
          <w:sz w:val="20"/>
          <w:szCs w:val="20"/>
        </w:rPr>
      </w:pPr>
      <w:r>
        <w:rPr>
          <w:rFonts w:hint="default" w:ascii="Times New Roman" w:hAnsi="Times New Roman" w:cs="Times New Roman"/>
          <w:sz w:val="20"/>
          <w:szCs w:val="20"/>
        </w:rPr>
        <w:br w:type="page"/>
      </w:r>
    </w:p>
    <w:tbl>
      <w:tblPr>
        <w:tblStyle w:val="10"/>
        <w:tblW w:w="15322" w:type="dxa"/>
        <w:tblInd w:w="0" w:type="dxa"/>
        <w:tblLayout w:type="fixed"/>
        <w:tblCellMar>
          <w:top w:w="0" w:type="dxa"/>
          <w:left w:w="0" w:type="dxa"/>
          <w:bottom w:w="0" w:type="dxa"/>
          <w:right w:w="0" w:type="dxa"/>
        </w:tblCellMar>
      </w:tblPr>
      <w:tblGrid>
        <w:gridCol w:w="1795"/>
        <w:gridCol w:w="3343"/>
        <w:gridCol w:w="1695"/>
        <w:gridCol w:w="1695"/>
        <w:gridCol w:w="1695"/>
        <w:gridCol w:w="1679"/>
        <w:gridCol w:w="1679"/>
        <w:gridCol w:w="1741"/>
      </w:tblGrid>
      <w:tr>
        <w:tblPrEx>
          <w:tblLayout w:type="fixed"/>
          <w:tblCellMar>
            <w:top w:w="0" w:type="dxa"/>
            <w:left w:w="0" w:type="dxa"/>
            <w:bottom w:w="0" w:type="dxa"/>
            <w:right w:w="0" w:type="dxa"/>
          </w:tblCellMar>
        </w:tblPrEx>
        <w:trPr>
          <w:trHeight w:val="654" w:hRule="atLeast"/>
        </w:trPr>
        <w:tc>
          <w:tcPr>
            <w:tcW w:w="15322"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支出决算表</w:t>
            </w:r>
          </w:p>
        </w:tc>
      </w:tr>
      <w:tr>
        <w:tblPrEx>
          <w:tblLayout w:type="fixed"/>
          <w:tblCellMar>
            <w:top w:w="0" w:type="dxa"/>
            <w:left w:w="0" w:type="dxa"/>
            <w:bottom w:w="0" w:type="dxa"/>
            <w:right w:w="0" w:type="dxa"/>
          </w:tblCellMar>
        </w:tblPrEx>
        <w:trPr>
          <w:trHeight w:val="342" w:hRule="atLeast"/>
        </w:trPr>
        <w:tc>
          <w:tcPr>
            <w:tcW w:w="6833"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r>
              <w:rPr>
                <w:rFonts w:hint="default" w:ascii="Times New Roman" w:hAnsi="Times New Roman" w:cs="Times New Roman"/>
                <w:sz w:val="20"/>
                <w:szCs w:val="20"/>
              </w:rPr>
              <w:t>公开部门</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 xml:space="preserve">重庆市秀山土家族苗族自治县发展和改革委员会 </w:t>
            </w:r>
          </w:p>
        </w:tc>
        <w:tc>
          <w:tcPr>
            <w:tcW w:w="1695"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695"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679"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679"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74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公开03表</w:t>
            </w:r>
          </w:p>
        </w:tc>
      </w:tr>
      <w:tr>
        <w:tblPrEx>
          <w:tblLayout w:type="fixed"/>
          <w:tblCellMar>
            <w:top w:w="0" w:type="dxa"/>
            <w:left w:w="0" w:type="dxa"/>
            <w:bottom w:w="0" w:type="dxa"/>
            <w:right w:w="0" w:type="dxa"/>
          </w:tblCellMar>
        </w:tblPrEx>
        <w:trPr>
          <w:trHeight w:val="342" w:hRule="atLeast"/>
        </w:trPr>
        <w:tc>
          <w:tcPr>
            <w:tcW w:w="6833"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695"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695"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679"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679"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74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Layout w:type="fixed"/>
          <w:tblCellMar>
            <w:top w:w="0" w:type="dxa"/>
            <w:left w:w="0" w:type="dxa"/>
            <w:bottom w:w="0" w:type="dxa"/>
            <w:right w:w="0" w:type="dxa"/>
          </w:tblCellMar>
        </w:tblPrEx>
        <w:trPr>
          <w:trHeight w:val="362" w:hRule="atLeast"/>
        </w:trPr>
        <w:tc>
          <w:tcPr>
            <w:tcW w:w="5138"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169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本年支出合计</w:t>
            </w:r>
          </w:p>
        </w:tc>
        <w:tc>
          <w:tcPr>
            <w:tcW w:w="169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169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c>
          <w:tcPr>
            <w:tcW w:w="167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上缴上级支出</w:t>
            </w:r>
          </w:p>
        </w:tc>
        <w:tc>
          <w:tcPr>
            <w:tcW w:w="167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经营支出</w:t>
            </w:r>
          </w:p>
        </w:tc>
        <w:tc>
          <w:tcPr>
            <w:tcW w:w="174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对附属单位补助支出</w:t>
            </w:r>
          </w:p>
        </w:tc>
      </w:tr>
      <w:tr>
        <w:tblPrEx>
          <w:tblLayout w:type="fixed"/>
          <w:tblCellMar>
            <w:top w:w="0" w:type="dxa"/>
            <w:left w:w="0" w:type="dxa"/>
            <w:bottom w:w="0" w:type="dxa"/>
            <w:right w:w="0" w:type="dxa"/>
          </w:tblCellMar>
        </w:tblPrEx>
        <w:trPr>
          <w:trHeight w:val="338" w:hRule="atLeast"/>
        </w:trPr>
        <w:tc>
          <w:tcPr>
            <w:tcW w:w="179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3343"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4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8" w:hRule="atLeast"/>
        </w:trPr>
        <w:tc>
          <w:tcPr>
            <w:tcW w:w="179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343"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4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8" w:hRule="atLeast"/>
        </w:trPr>
        <w:tc>
          <w:tcPr>
            <w:tcW w:w="179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343"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4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8" w:hRule="atLeast"/>
        </w:trPr>
        <w:tc>
          <w:tcPr>
            <w:tcW w:w="179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343"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4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62" w:hRule="atLeast"/>
        </w:trPr>
        <w:tc>
          <w:tcPr>
            <w:tcW w:w="513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6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2,253.04</w:t>
            </w:r>
            <w:r>
              <w:rPr>
                <w:rFonts w:hint="default" w:ascii="Times New Roman" w:hAnsi="Times New Roman" w:cs="Times New Roman"/>
                <w:b/>
                <w:color w:val="000000"/>
                <w:sz w:val="20"/>
                <w:u w:color="auto"/>
              </w:rPr>
              <w:t xml:space="preserve"> </w:t>
            </w:r>
          </w:p>
        </w:tc>
        <w:tc>
          <w:tcPr>
            <w:tcW w:w="16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1,341.98</w:t>
            </w:r>
            <w:r>
              <w:rPr>
                <w:rFonts w:hint="default" w:ascii="Times New Roman" w:hAnsi="Times New Roman" w:cs="Times New Roman"/>
                <w:b/>
                <w:color w:val="000000"/>
                <w:sz w:val="20"/>
                <w:u w:color="auto"/>
              </w:rPr>
              <w:t xml:space="preserve"> </w:t>
            </w:r>
          </w:p>
        </w:tc>
        <w:tc>
          <w:tcPr>
            <w:tcW w:w="16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911.06</w:t>
            </w:r>
            <w:r>
              <w:rPr>
                <w:rFonts w:hint="default" w:ascii="Times New Roman" w:hAnsi="Times New Roman" w:cs="Times New Roman"/>
                <w:b/>
                <w:color w:val="000000"/>
                <w:sz w:val="20"/>
                <w:u w:color="auto"/>
              </w:rPr>
              <w:t xml:space="preserve"> </w:t>
            </w:r>
          </w:p>
        </w:tc>
        <w:tc>
          <w:tcPr>
            <w:tcW w:w="167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67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7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一般公共服务支出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1,409.47</w:t>
            </w:r>
            <w:r>
              <w:rPr>
                <w:rFonts w:hint="default" w:ascii="Times New Roman" w:hAnsi="Times New Roman" w:cs="Times New Roman"/>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1,044.44</w:t>
            </w:r>
            <w:r>
              <w:rPr>
                <w:rFonts w:hint="default" w:ascii="Times New Roman" w:hAnsi="Times New Roman" w:cs="Times New Roman"/>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365.03</w:t>
            </w:r>
            <w:r>
              <w:rPr>
                <w:rFonts w:hint="default" w:ascii="Times New Roman" w:hAnsi="Times New Roman" w:cs="Times New Roman"/>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20104</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发展与改革事务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1,408.17</w:t>
            </w:r>
            <w:r>
              <w:rPr>
                <w:rFonts w:hint="default" w:ascii="Times New Roman" w:hAnsi="Times New Roman" w:cs="Times New Roman"/>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1,044.44</w:t>
            </w:r>
            <w:r>
              <w:rPr>
                <w:rFonts w:hint="default" w:ascii="Times New Roman" w:hAnsi="Times New Roman" w:cs="Times New Roman"/>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363.73</w:t>
            </w:r>
            <w:r>
              <w:rPr>
                <w:rFonts w:hint="default" w:ascii="Times New Roman" w:hAnsi="Times New Roman" w:cs="Times New Roman"/>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2010401</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行政运行</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680.10</w:t>
            </w: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680.10</w:t>
            </w: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2010402</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一般行政管理事务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54.50</w:t>
            </w: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54.50</w:t>
            </w: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2010406</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社会事业发展规划</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213.71</w:t>
            </w: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213.71</w:t>
            </w: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2010408</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物价管理</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31.40</w:t>
            </w: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31.40</w:t>
            </w: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2010450</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事业运行</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322.03</w:t>
            </w: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322.03</w:t>
            </w: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2010499</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其他发展与改革事务支出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106.44</w:t>
            </w: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42.32</w:t>
            </w: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64.12</w:t>
            </w: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20199</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其他一般公共服务支出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1.30</w:t>
            </w:r>
            <w:r>
              <w:rPr>
                <w:rFonts w:hint="default" w:ascii="Times New Roman" w:hAnsi="Times New Roman" w:cs="Times New Roman"/>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1.30</w:t>
            </w:r>
            <w:r>
              <w:rPr>
                <w:rFonts w:hint="default" w:ascii="Times New Roman" w:hAnsi="Times New Roman" w:cs="Times New Roman"/>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2019999</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其他一般公共服务支出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1.30</w:t>
            </w: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1.30</w:t>
            </w: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社会保障和就业支出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174.18</w:t>
            </w:r>
            <w:r>
              <w:rPr>
                <w:rFonts w:hint="default" w:ascii="Times New Roman" w:hAnsi="Times New Roman" w:cs="Times New Roman"/>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174.18</w:t>
            </w:r>
            <w:r>
              <w:rPr>
                <w:rFonts w:hint="default" w:ascii="Times New Roman" w:hAnsi="Times New Roman" w:cs="Times New Roman"/>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20805</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行政事业单位养老支出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173.87</w:t>
            </w:r>
            <w:r>
              <w:rPr>
                <w:rFonts w:hint="default" w:ascii="Times New Roman" w:hAnsi="Times New Roman" w:cs="Times New Roman"/>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173.87</w:t>
            </w:r>
            <w:r>
              <w:rPr>
                <w:rFonts w:hint="default" w:ascii="Times New Roman" w:hAnsi="Times New Roman" w:cs="Times New Roman"/>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2080501</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行政单位离退休</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47.20</w:t>
            </w: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47.20</w:t>
            </w: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2080505</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机关事业单位基本养老保险缴费支出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84.71</w:t>
            </w: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84.71</w:t>
            </w: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2080506</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机关事业单位职业年金缴费支出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41.96</w:t>
            </w: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41.96</w:t>
            </w: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20899</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其他社会保障和就业支出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0.30</w:t>
            </w:r>
            <w:r>
              <w:rPr>
                <w:rFonts w:hint="default" w:ascii="Times New Roman" w:hAnsi="Times New Roman" w:cs="Times New Roman"/>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0.30</w:t>
            </w:r>
            <w:r>
              <w:rPr>
                <w:rFonts w:hint="default" w:ascii="Times New Roman" w:hAnsi="Times New Roman" w:cs="Times New Roman"/>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2089999</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其他社会保障和就业支出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0.30</w:t>
            </w: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0.30</w:t>
            </w: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卫生健康支出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45.22</w:t>
            </w:r>
            <w:r>
              <w:rPr>
                <w:rFonts w:hint="default" w:ascii="Times New Roman" w:hAnsi="Times New Roman" w:cs="Times New Roman"/>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45.22</w:t>
            </w:r>
            <w:r>
              <w:rPr>
                <w:rFonts w:hint="default" w:ascii="Times New Roman" w:hAnsi="Times New Roman" w:cs="Times New Roman"/>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21011</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行政事业单位医疗</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45.22</w:t>
            </w:r>
            <w:r>
              <w:rPr>
                <w:rFonts w:hint="default" w:ascii="Times New Roman" w:hAnsi="Times New Roman" w:cs="Times New Roman"/>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45.22</w:t>
            </w:r>
            <w:r>
              <w:rPr>
                <w:rFonts w:hint="default" w:ascii="Times New Roman" w:hAnsi="Times New Roman" w:cs="Times New Roman"/>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2101101</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行政单位医疗</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25.48</w:t>
            </w: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25.48</w:t>
            </w: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2101102</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事业单位医疗</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19.74</w:t>
            </w: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19.74</w:t>
            </w: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农林水支出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22.64</w:t>
            </w:r>
            <w:r>
              <w:rPr>
                <w:rFonts w:hint="default" w:ascii="Times New Roman" w:hAnsi="Times New Roman" w:cs="Times New Roman"/>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22.64</w:t>
            </w:r>
            <w:r>
              <w:rPr>
                <w:rFonts w:hint="default" w:ascii="Times New Roman" w:hAnsi="Times New Roman" w:cs="Times New Roman"/>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21305</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巩固脱贫攻坚成果衔接乡村振兴</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22.64</w:t>
            </w:r>
            <w:r>
              <w:rPr>
                <w:rFonts w:hint="default" w:ascii="Times New Roman" w:hAnsi="Times New Roman" w:cs="Times New Roman"/>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22.64</w:t>
            </w:r>
            <w:r>
              <w:rPr>
                <w:rFonts w:hint="default" w:ascii="Times New Roman" w:hAnsi="Times New Roman" w:cs="Times New Roman"/>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2130599</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其他巩固脱贫攻坚成果衔接乡村振兴支出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22.64</w:t>
            </w: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22.64</w:t>
            </w: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住房保障支出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78.14</w:t>
            </w:r>
            <w:r>
              <w:rPr>
                <w:rFonts w:hint="default" w:ascii="Times New Roman" w:hAnsi="Times New Roman" w:cs="Times New Roman"/>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78.14</w:t>
            </w:r>
            <w:r>
              <w:rPr>
                <w:rFonts w:hint="default" w:ascii="Times New Roman" w:hAnsi="Times New Roman" w:cs="Times New Roman"/>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22102</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住房改革支出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78.14</w:t>
            </w:r>
            <w:r>
              <w:rPr>
                <w:rFonts w:hint="default" w:ascii="Times New Roman" w:hAnsi="Times New Roman" w:cs="Times New Roman"/>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78.14</w:t>
            </w:r>
            <w:r>
              <w:rPr>
                <w:rFonts w:hint="default" w:ascii="Times New Roman" w:hAnsi="Times New Roman" w:cs="Times New Roman"/>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2210201</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住房公积金</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78.14</w:t>
            </w: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78.14</w:t>
            </w: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222</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粮油物资储备支出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515.81</w:t>
            </w:r>
            <w:r>
              <w:rPr>
                <w:rFonts w:hint="default" w:ascii="Times New Roman" w:hAnsi="Times New Roman" w:cs="Times New Roman"/>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515.81</w:t>
            </w:r>
            <w:r>
              <w:rPr>
                <w:rFonts w:hint="default" w:ascii="Times New Roman" w:hAnsi="Times New Roman" w:cs="Times New Roman"/>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22204</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粮油储备</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515.81</w:t>
            </w:r>
            <w:r>
              <w:rPr>
                <w:rFonts w:hint="default" w:ascii="Times New Roman" w:hAnsi="Times New Roman" w:cs="Times New Roman"/>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515.81</w:t>
            </w:r>
            <w:r>
              <w:rPr>
                <w:rFonts w:hint="default" w:ascii="Times New Roman" w:hAnsi="Times New Roman" w:cs="Times New Roman"/>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2220499</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其他粮油储备支出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515.81</w:t>
            </w: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515.81</w:t>
            </w: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224</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灾害防治及应急管理支出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7.59</w:t>
            </w:r>
            <w:r>
              <w:rPr>
                <w:rFonts w:hint="default" w:ascii="Times New Roman" w:hAnsi="Times New Roman" w:cs="Times New Roman"/>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7.59</w:t>
            </w:r>
            <w:r>
              <w:rPr>
                <w:rFonts w:hint="default" w:ascii="Times New Roman" w:hAnsi="Times New Roman" w:cs="Times New Roman"/>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22401</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应急管理事务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7.59</w:t>
            </w:r>
            <w:r>
              <w:rPr>
                <w:rFonts w:hint="default" w:ascii="Times New Roman" w:hAnsi="Times New Roman" w:cs="Times New Roman"/>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7.59</w:t>
            </w:r>
            <w:r>
              <w:rPr>
                <w:rFonts w:hint="default" w:ascii="Times New Roman" w:hAnsi="Times New Roman" w:cs="Times New Roman"/>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2240109</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应急管理</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7.59</w:t>
            </w: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7.59</w:t>
            </w: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bl>
    <w:p>
      <w:pPr>
        <w:rPr>
          <w:rFonts w:hint="default" w:ascii="Times New Roman" w:hAnsi="Times New Roman" w:cs="Times New Roman"/>
          <w:sz w:val="20"/>
          <w:szCs w:val="20"/>
        </w:rPr>
      </w:pPr>
      <w:r>
        <w:rPr>
          <w:rFonts w:hint="default" w:ascii="Times New Roman" w:hAnsi="Times New Roman" w:cs="Times New Roman"/>
          <w:sz w:val="20"/>
          <w:szCs w:val="20"/>
        </w:rPr>
        <w:t>备注：1.本表反映部门本年度各项支出情况。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pPr>
        <w:rPr>
          <w:rFonts w:hint="default" w:ascii="Times New Roman" w:hAnsi="Times New Roman" w:cs="Times New Roman"/>
          <w:sz w:val="21"/>
          <w:szCs w:val="21"/>
        </w:rPr>
      </w:pPr>
      <w:r>
        <w:rPr>
          <w:rFonts w:hint="default" w:ascii="Times New Roman" w:hAnsi="Times New Roman" w:cs="Times New Roman"/>
          <w:sz w:val="21"/>
          <w:szCs w:val="21"/>
        </w:rPr>
        <w:br w:type="page"/>
      </w:r>
    </w:p>
    <w:p>
      <w:pPr>
        <w:rPr>
          <w:rFonts w:hint="default" w:ascii="Times New Roman" w:hAnsi="Times New Roman" w:cs="Times New Roman"/>
          <w:sz w:val="21"/>
          <w:szCs w:val="21"/>
        </w:rPr>
      </w:pPr>
    </w:p>
    <w:tbl>
      <w:tblPr>
        <w:tblStyle w:val="10"/>
        <w:tblW w:w="14678" w:type="dxa"/>
        <w:tblInd w:w="0" w:type="dxa"/>
        <w:tblLayout w:type="fixed"/>
        <w:tblCellMar>
          <w:top w:w="0" w:type="dxa"/>
          <w:left w:w="0" w:type="dxa"/>
          <w:bottom w:w="0" w:type="dxa"/>
          <w:right w:w="0" w:type="dxa"/>
        </w:tblCellMar>
      </w:tblPr>
      <w:tblGrid>
        <w:gridCol w:w="2967"/>
        <w:gridCol w:w="1521"/>
        <w:gridCol w:w="3179"/>
        <w:gridCol w:w="1694"/>
        <w:gridCol w:w="1694"/>
        <w:gridCol w:w="1694"/>
        <w:gridCol w:w="1929"/>
      </w:tblGrid>
      <w:tr>
        <w:tblPrEx>
          <w:tblLayout w:type="fixed"/>
          <w:tblCellMar>
            <w:top w:w="0" w:type="dxa"/>
            <w:left w:w="0" w:type="dxa"/>
            <w:bottom w:w="0" w:type="dxa"/>
            <w:right w:w="0" w:type="dxa"/>
          </w:tblCellMar>
        </w:tblPrEx>
        <w:trPr>
          <w:trHeight w:val="90" w:hRule="atLeast"/>
        </w:trPr>
        <w:tc>
          <w:tcPr>
            <w:tcW w:w="14678" w:type="dxa"/>
            <w:gridSpan w:val="7"/>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财政拨款收入支出决算总表</w:t>
            </w:r>
          </w:p>
        </w:tc>
      </w:tr>
      <w:tr>
        <w:tblPrEx>
          <w:tblLayout w:type="fixed"/>
          <w:tblCellMar>
            <w:top w:w="0" w:type="dxa"/>
            <w:left w:w="0" w:type="dxa"/>
            <w:bottom w:w="0" w:type="dxa"/>
            <w:right w:w="0" w:type="dxa"/>
          </w:tblCellMar>
        </w:tblPrEx>
        <w:trPr>
          <w:trHeight w:val="90" w:hRule="atLeast"/>
        </w:trPr>
        <w:tc>
          <w:tcPr>
            <w:tcW w:w="7667" w:type="dxa"/>
            <w:gridSpan w:val="3"/>
            <w:vMerge w:val="restart"/>
            <w:tcBorders>
              <w:top w:val="nil"/>
              <w:left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r>
              <w:rPr>
                <w:rFonts w:hint="default" w:ascii="Times New Roman" w:hAnsi="Times New Roman" w:cs="Times New Roman"/>
                <w:sz w:val="20"/>
                <w:szCs w:val="20"/>
              </w:rPr>
              <w:t>公开部门</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重庆市秀山土家族苗族自治县发展和改革委员会</w:t>
            </w: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929" w:type="dxa"/>
            <w:tcBorders>
              <w:top w:val="nil"/>
              <w:left w:val="nil"/>
              <w:bottom w:val="nil"/>
              <w:right w:val="nil"/>
            </w:tcBorders>
            <w:shd w:val="clear" w:color="auto" w:fill="auto"/>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公开04表</w:t>
            </w:r>
          </w:p>
        </w:tc>
      </w:tr>
      <w:tr>
        <w:tblPrEx>
          <w:tblLayout w:type="fixed"/>
          <w:tblCellMar>
            <w:top w:w="0" w:type="dxa"/>
            <w:left w:w="0" w:type="dxa"/>
            <w:bottom w:w="0" w:type="dxa"/>
            <w:right w:w="0" w:type="dxa"/>
          </w:tblCellMar>
        </w:tblPrEx>
        <w:trPr>
          <w:trHeight w:val="90" w:hRule="atLeast"/>
        </w:trPr>
        <w:tc>
          <w:tcPr>
            <w:tcW w:w="7667" w:type="dxa"/>
            <w:gridSpan w:val="3"/>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929"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Layout w:type="fixed"/>
          <w:tblCellMar>
            <w:top w:w="0" w:type="dxa"/>
            <w:left w:w="0" w:type="dxa"/>
            <w:bottom w:w="0" w:type="dxa"/>
            <w:right w:w="0" w:type="dxa"/>
          </w:tblCellMar>
        </w:tblPrEx>
        <w:trPr>
          <w:trHeight w:val="90" w:hRule="atLeast"/>
        </w:trPr>
        <w:tc>
          <w:tcPr>
            <w:tcW w:w="448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收     入</w:t>
            </w:r>
          </w:p>
        </w:tc>
        <w:tc>
          <w:tcPr>
            <w:tcW w:w="10190" w:type="dxa"/>
            <w:gridSpan w:val="5"/>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支     出</w:t>
            </w:r>
          </w:p>
        </w:tc>
      </w:tr>
      <w:tr>
        <w:tblPrEx>
          <w:tblLayout w:type="fixed"/>
          <w:tblCellMar>
            <w:top w:w="0" w:type="dxa"/>
            <w:left w:w="0" w:type="dxa"/>
            <w:bottom w:w="0" w:type="dxa"/>
            <w:right w:w="0" w:type="dxa"/>
          </w:tblCellMar>
        </w:tblPrEx>
        <w:trPr>
          <w:trHeight w:val="90" w:hRule="atLeast"/>
        </w:trPr>
        <w:tc>
          <w:tcPr>
            <w:tcW w:w="296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项目</w:t>
            </w:r>
          </w:p>
        </w:tc>
        <w:tc>
          <w:tcPr>
            <w:tcW w:w="152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决算数</w:t>
            </w:r>
          </w:p>
        </w:tc>
        <w:tc>
          <w:tcPr>
            <w:tcW w:w="317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功能分类科目</w:t>
            </w:r>
          </w:p>
        </w:tc>
        <w:tc>
          <w:tcPr>
            <w:tcW w:w="7011" w:type="dxa"/>
            <w:gridSpan w:val="4"/>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决算数</w:t>
            </w:r>
          </w:p>
        </w:tc>
      </w:tr>
      <w:tr>
        <w:tblPrEx>
          <w:tblLayout w:type="fixed"/>
          <w:tblCellMar>
            <w:top w:w="0" w:type="dxa"/>
            <w:left w:w="0" w:type="dxa"/>
            <w:bottom w:w="0" w:type="dxa"/>
            <w:right w:w="0" w:type="dxa"/>
          </w:tblCellMar>
        </w:tblPrEx>
        <w:trPr>
          <w:trHeight w:val="90" w:hRule="atLeast"/>
        </w:trPr>
        <w:tc>
          <w:tcPr>
            <w:tcW w:w="296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152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317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小计</w:t>
            </w:r>
          </w:p>
        </w:tc>
        <w:tc>
          <w:tcPr>
            <w:tcW w:w="169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一般公共预算财政拨款</w:t>
            </w:r>
          </w:p>
        </w:tc>
        <w:tc>
          <w:tcPr>
            <w:tcW w:w="169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政府性基金预算财政拨款</w:t>
            </w:r>
          </w:p>
        </w:tc>
        <w:tc>
          <w:tcPr>
            <w:tcW w:w="192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国有资本经营预算财政拨款</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一、一般公共预算财政拨款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2,253.04</w:t>
            </w:r>
            <w:r>
              <w:rPr>
                <w:rFonts w:hint="default" w:ascii="Times New Roman" w:hAnsi="Times New Roman" w:cs="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一、一般公共服务支出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1,409.47</w:t>
            </w: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1,409.47</w:t>
            </w: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二、外交支出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三、国有资本经营预算财政拨款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三、国防支出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四、公共安全支出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五、教育支出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六、科学技术支出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七、文化旅游体育与传媒支出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八、社会保障和就业支出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174.18</w:t>
            </w: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174.18</w:t>
            </w: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九、卫生健康支出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45.22</w:t>
            </w: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45.22</w:t>
            </w: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十、节能环保支出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十一、城乡社区支出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十二、农林水支出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22.64</w:t>
            </w: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22.64</w:t>
            </w: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十三、交通运输支出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十四、资源勘探工业信息等支出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十五、商业服务业等支出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十六、金融支出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十七、援助其他地区支出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十八、自然资源海洋气象等支出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十九、住房保障支出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78.14</w:t>
            </w: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78.14</w:t>
            </w: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二十、粮油物资储备支出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515.81</w:t>
            </w: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515.81</w:t>
            </w: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二十一、国有资本经营预算支出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二十二、灾害防治及应急管理支出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7.59</w:t>
            </w: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7.59</w:t>
            </w: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二十三、其他支出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二十四、债务还本支出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二十五、债务付息支出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二十六、抗疫特别国债安排的支出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本年收入合计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2,253.04</w:t>
            </w:r>
            <w:r>
              <w:rPr>
                <w:rFonts w:hint="default" w:ascii="Times New Roman" w:hAnsi="Times New Roman" w:cs="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本年支出合计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2,253.04</w:t>
            </w: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2,253.04</w:t>
            </w: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年初财政拨款结转和结余</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年末财政拨款结转和结余</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总计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2,253.04</w:t>
            </w:r>
            <w:r>
              <w:rPr>
                <w:rFonts w:hint="default" w:ascii="Times New Roman" w:hAnsi="Times New Roman" w:cs="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总计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2,253.04</w:t>
            </w: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2,253.04</w:t>
            </w: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bl>
    <w:p>
      <w:pPr>
        <w:spacing w:line="240" w:lineRule="exact"/>
        <w:rPr>
          <w:rFonts w:hint="default" w:ascii="Times New Roman" w:hAnsi="Times New Roman" w:cs="Times New Roman"/>
          <w:sz w:val="20"/>
          <w:szCs w:val="20"/>
        </w:rPr>
      </w:pPr>
      <w:r>
        <w:rPr>
          <w:rFonts w:hint="default" w:ascii="Times New Roman" w:hAnsi="Times New Roman" w:cs="Times New Roman"/>
          <w:sz w:val="20"/>
          <w:szCs w:val="20"/>
        </w:rPr>
        <w:t>备注：1.本表反映部门本年度一般公共预算财政拨款、政府性基金预算财政拨款及国有资本经营预算财政拨款的总收支和年末结转结余情况。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r>
        <w:rPr>
          <w:rFonts w:hint="default" w:ascii="Times New Roman" w:hAnsi="Times New Roman" w:cs="Times New Roman"/>
          <w:sz w:val="21"/>
          <w:szCs w:val="21"/>
        </w:rPr>
        <w:br w:type="page"/>
      </w:r>
    </w:p>
    <w:tbl>
      <w:tblPr>
        <w:tblStyle w:val="10"/>
        <w:tblW w:w="15322" w:type="dxa"/>
        <w:tblInd w:w="0" w:type="dxa"/>
        <w:tblLayout w:type="fixed"/>
        <w:tblCellMar>
          <w:top w:w="0" w:type="dxa"/>
          <w:left w:w="0" w:type="dxa"/>
          <w:bottom w:w="0" w:type="dxa"/>
          <w:right w:w="0" w:type="dxa"/>
        </w:tblCellMar>
      </w:tblPr>
      <w:tblGrid>
        <w:gridCol w:w="1852"/>
        <w:gridCol w:w="3536"/>
        <w:gridCol w:w="3306"/>
        <w:gridCol w:w="3306"/>
        <w:gridCol w:w="3322"/>
      </w:tblGrid>
      <w:tr>
        <w:tblPrEx>
          <w:tblLayout w:type="fixed"/>
          <w:tblCellMar>
            <w:top w:w="0" w:type="dxa"/>
            <w:left w:w="0" w:type="dxa"/>
            <w:bottom w:w="0" w:type="dxa"/>
            <w:right w:w="0" w:type="dxa"/>
          </w:tblCellMar>
        </w:tblPrEx>
        <w:trPr>
          <w:trHeight w:val="510" w:hRule="atLeast"/>
        </w:trPr>
        <w:tc>
          <w:tcPr>
            <w:tcW w:w="15322" w:type="dxa"/>
            <w:gridSpan w:val="5"/>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一般公共预算财政拨款支出决算表</w:t>
            </w:r>
          </w:p>
        </w:tc>
      </w:tr>
      <w:tr>
        <w:tblPrEx>
          <w:tblLayout w:type="fixed"/>
          <w:tblCellMar>
            <w:top w:w="0" w:type="dxa"/>
            <w:left w:w="0" w:type="dxa"/>
            <w:bottom w:w="0" w:type="dxa"/>
            <w:right w:w="0" w:type="dxa"/>
          </w:tblCellMar>
        </w:tblPrEx>
        <w:trPr>
          <w:trHeight w:val="255" w:hRule="atLeast"/>
        </w:trPr>
        <w:tc>
          <w:tcPr>
            <w:tcW w:w="8694"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r>
              <w:rPr>
                <w:rFonts w:hint="default" w:ascii="Times New Roman" w:hAnsi="Times New Roman" w:cs="Times New Roman"/>
                <w:sz w:val="20"/>
                <w:szCs w:val="20"/>
              </w:rPr>
              <w:t>公开部门</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重庆市秀山土家族苗族自治县发展和改革委员会</w:t>
            </w:r>
          </w:p>
        </w:tc>
        <w:tc>
          <w:tcPr>
            <w:tcW w:w="3306"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3322"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公开05表</w:t>
            </w:r>
          </w:p>
        </w:tc>
      </w:tr>
      <w:tr>
        <w:tblPrEx>
          <w:tblLayout w:type="fixed"/>
          <w:tblCellMar>
            <w:top w:w="0" w:type="dxa"/>
            <w:left w:w="0" w:type="dxa"/>
            <w:bottom w:w="0" w:type="dxa"/>
            <w:right w:w="0" w:type="dxa"/>
          </w:tblCellMar>
        </w:tblPrEx>
        <w:trPr>
          <w:trHeight w:val="285" w:hRule="atLeast"/>
        </w:trPr>
        <w:tc>
          <w:tcPr>
            <w:tcW w:w="8694"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3306"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3322"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Layout w:type="fixed"/>
          <w:tblCellMar>
            <w:top w:w="0" w:type="dxa"/>
            <w:left w:w="0" w:type="dxa"/>
            <w:bottom w:w="0" w:type="dxa"/>
            <w:right w:w="0" w:type="dxa"/>
          </w:tblCellMar>
        </w:tblPrEx>
        <w:trPr>
          <w:trHeight w:val="308" w:hRule="atLeast"/>
        </w:trPr>
        <w:tc>
          <w:tcPr>
            <w:tcW w:w="538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9934"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w:t>
            </w:r>
          </w:p>
        </w:tc>
      </w:tr>
      <w:tr>
        <w:tblPrEx>
          <w:tblLayout w:type="fixed"/>
          <w:tblCellMar>
            <w:top w:w="0" w:type="dxa"/>
            <w:left w:w="0" w:type="dxa"/>
            <w:bottom w:w="0" w:type="dxa"/>
            <w:right w:w="0" w:type="dxa"/>
          </w:tblCellMar>
        </w:tblPrEx>
        <w:trPr>
          <w:trHeight w:val="326" w:hRule="atLeast"/>
        </w:trPr>
        <w:tc>
          <w:tcPr>
            <w:tcW w:w="185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353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330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330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332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r>
      <w:tr>
        <w:tblPrEx>
          <w:tblLayout w:type="fixed"/>
          <w:tblCellMar>
            <w:top w:w="0" w:type="dxa"/>
            <w:left w:w="0" w:type="dxa"/>
            <w:bottom w:w="0" w:type="dxa"/>
            <w:right w:w="0" w:type="dxa"/>
          </w:tblCellMar>
        </w:tblPrEx>
        <w:trPr>
          <w:trHeight w:val="326" w:hRule="atLeast"/>
        </w:trPr>
        <w:tc>
          <w:tcPr>
            <w:tcW w:w="185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53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30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30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32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615" w:hRule="atLeast"/>
        </w:trPr>
        <w:tc>
          <w:tcPr>
            <w:tcW w:w="185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53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30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30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32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08" w:hRule="atLeast"/>
        </w:trPr>
        <w:tc>
          <w:tcPr>
            <w:tcW w:w="5388"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2,253.04</w:t>
            </w:r>
            <w:r>
              <w:rPr>
                <w:rFonts w:hint="default" w:ascii="Times New Roman" w:hAnsi="Times New Roman" w:cs="Times New Roman"/>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1,341.98</w:t>
            </w:r>
            <w:r>
              <w:rPr>
                <w:rFonts w:hint="default" w:ascii="Times New Roman" w:hAnsi="Times New Roman" w:cs="Times New Roman"/>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911.06</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一般公共服务支出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1,409.47</w:t>
            </w:r>
            <w:r>
              <w:rPr>
                <w:rFonts w:hint="default" w:ascii="Times New Roman" w:hAnsi="Times New Roman" w:cs="Times New Roman"/>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1,044.44</w:t>
            </w:r>
            <w:r>
              <w:rPr>
                <w:rFonts w:hint="default" w:ascii="Times New Roman" w:hAnsi="Times New Roman" w:cs="Times New Roman"/>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365.03</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20104</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发展与改革事务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1,408.17</w:t>
            </w:r>
            <w:r>
              <w:rPr>
                <w:rFonts w:hint="default" w:ascii="Times New Roman" w:hAnsi="Times New Roman" w:cs="Times New Roman"/>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1,044.44</w:t>
            </w:r>
            <w:r>
              <w:rPr>
                <w:rFonts w:hint="default" w:ascii="Times New Roman" w:hAnsi="Times New Roman" w:cs="Times New Roman"/>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363.73</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2010401</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行政运行</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680.10</w:t>
            </w:r>
            <w:r>
              <w:rPr>
                <w:rFonts w:hint="default" w:ascii="Times New Roman" w:hAnsi="Times New Roman" w:cs="Times New Roman"/>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680.10</w:t>
            </w:r>
            <w:r>
              <w:rPr>
                <w:rFonts w:hint="default" w:ascii="Times New Roman" w:hAnsi="Times New Roman" w:cs="Times New Roman"/>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2010402</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一般行政管理事务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54.50</w:t>
            </w:r>
            <w:r>
              <w:rPr>
                <w:rFonts w:hint="default" w:ascii="Times New Roman" w:hAnsi="Times New Roman" w:cs="Times New Roman"/>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54.50</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2010406</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社会事业发展规划</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213.71</w:t>
            </w:r>
            <w:r>
              <w:rPr>
                <w:rFonts w:hint="default" w:ascii="Times New Roman" w:hAnsi="Times New Roman" w:cs="Times New Roman"/>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213.71</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2010408</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物价管理</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31.40</w:t>
            </w:r>
            <w:r>
              <w:rPr>
                <w:rFonts w:hint="default" w:ascii="Times New Roman" w:hAnsi="Times New Roman" w:cs="Times New Roman"/>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31.40</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2010450</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事业运行</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322.03</w:t>
            </w:r>
            <w:r>
              <w:rPr>
                <w:rFonts w:hint="default" w:ascii="Times New Roman" w:hAnsi="Times New Roman" w:cs="Times New Roman"/>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322.03</w:t>
            </w:r>
            <w:r>
              <w:rPr>
                <w:rFonts w:hint="default" w:ascii="Times New Roman" w:hAnsi="Times New Roman" w:cs="Times New Roman"/>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2010499</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其他发展与改革事务支出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106.44</w:t>
            </w:r>
            <w:r>
              <w:rPr>
                <w:rFonts w:hint="default" w:ascii="Times New Roman" w:hAnsi="Times New Roman" w:cs="Times New Roman"/>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42.32</w:t>
            </w:r>
            <w:r>
              <w:rPr>
                <w:rFonts w:hint="default" w:ascii="Times New Roman" w:hAnsi="Times New Roman" w:cs="Times New Roman"/>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64.12</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20199</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其他一般公共服务支出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1.30</w:t>
            </w:r>
            <w:r>
              <w:rPr>
                <w:rFonts w:hint="default" w:ascii="Times New Roman" w:hAnsi="Times New Roman" w:cs="Times New Roman"/>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1.30</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2019999</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其他一般公共服务支出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1.30</w:t>
            </w:r>
            <w:r>
              <w:rPr>
                <w:rFonts w:hint="default" w:ascii="Times New Roman" w:hAnsi="Times New Roman" w:cs="Times New Roman"/>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1.30</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社会保障和就业支出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174.18</w:t>
            </w:r>
            <w:r>
              <w:rPr>
                <w:rFonts w:hint="default" w:ascii="Times New Roman" w:hAnsi="Times New Roman" w:cs="Times New Roman"/>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174.18</w:t>
            </w:r>
            <w:r>
              <w:rPr>
                <w:rFonts w:hint="default" w:ascii="Times New Roman" w:hAnsi="Times New Roman" w:cs="Times New Roman"/>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20805</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行政事业单位养老支出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173.87</w:t>
            </w:r>
            <w:r>
              <w:rPr>
                <w:rFonts w:hint="default" w:ascii="Times New Roman" w:hAnsi="Times New Roman" w:cs="Times New Roman"/>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173.87</w:t>
            </w:r>
            <w:r>
              <w:rPr>
                <w:rFonts w:hint="default" w:ascii="Times New Roman" w:hAnsi="Times New Roman" w:cs="Times New Roman"/>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2080501</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行政单位离退休</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47.20</w:t>
            </w:r>
            <w:r>
              <w:rPr>
                <w:rFonts w:hint="default" w:ascii="Times New Roman" w:hAnsi="Times New Roman" w:cs="Times New Roman"/>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47.20</w:t>
            </w:r>
            <w:r>
              <w:rPr>
                <w:rFonts w:hint="default" w:ascii="Times New Roman" w:hAnsi="Times New Roman" w:cs="Times New Roman"/>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2080505</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机关事业单位基本养老保险缴费支出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84.71</w:t>
            </w:r>
            <w:r>
              <w:rPr>
                <w:rFonts w:hint="default" w:ascii="Times New Roman" w:hAnsi="Times New Roman" w:cs="Times New Roman"/>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84.71</w:t>
            </w:r>
            <w:r>
              <w:rPr>
                <w:rFonts w:hint="default" w:ascii="Times New Roman" w:hAnsi="Times New Roman" w:cs="Times New Roman"/>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2080506</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机关事业单位职业年金缴费支出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41.96</w:t>
            </w:r>
            <w:r>
              <w:rPr>
                <w:rFonts w:hint="default" w:ascii="Times New Roman" w:hAnsi="Times New Roman" w:cs="Times New Roman"/>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41.96</w:t>
            </w:r>
            <w:r>
              <w:rPr>
                <w:rFonts w:hint="default" w:ascii="Times New Roman" w:hAnsi="Times New Roman" w:cs="Times New Roman"/>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20899</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其他社会保障和就业支出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0.30</w:t>
            </w:r>
            <w:r>
              <w:rPr>
                <w:rFonts w:hint="default" w:ascii="Times New Roman" w:hAnsi="Times New Roman" w:cs="Times New Roman"/>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0.30</w:t>
            </w:r>
            <w:r>
              <w:rPr>
                <w:rFonts w:hint="default" w:ascii="Times New Roman" w:hAnsi="Times New Roman" w:cs="Times New Roman"/>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2089999</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其他社会保障和就业支出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0.30</w:t>
            </w:r>
            <w:r>
              <w:rPr>
                <w:rFonts w:hint="default" w:ascii="Times New Roman" w:hAnsi="Times New Roman" w:cs="Times New Roman"/>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0.30</w:t>
            </w:r>
            <w:r>
              <w:rPr>
                <w:rFonts w:hint="default" w:ascii="Times New Roman" w:hAnsi="Times New Roman" w:cs="Times New Roman"/>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卫生健康支出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45.22</w:t>
            </w:r>
            <w:r>
              <w:rPr>
                <w:rFonts w:hint="default" w:ascii="Times New Roman" w:hAnsi="Times New Roman" w:cs="Times New Roman"/>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45.22</w:t>
            </w:r>
            <w:r>
              <w:rPr>
                <w:rFonts w:hint="default" w:ascii="Times New Roman" w:hAnsi="Times New Roman" w:cs="Times New Roman"/>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21011</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行政事业单位医疗</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45.22</w:t>
            </w:r>
            <w:r>
              <w:rPr>
                <w:rFonts w:hint="default" w:ascii="Times New Roman" w:hAnsi="Times New Roman" w:cs="Times New Roman"/>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45.22</w:t>
            </w:r>
            <w:r>
              <w:rPr>
                <w:rFonts w:hint="default" w:ascii="Times New Roman" w:hAnsi="Times New Roman" w:cs="Times New Roman"/>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2101101</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行政单位医疗</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25.48</w:t>
            </w:r>
            <w:r>
              <w:rPr>
                <w:rFonts w:hint="default" w:ascii="Times New Roman" w:hAnsi="Times New Roman" w:cs="Times New Roman"/>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25.48</w:t>
            </w:r>
            <w:r>
              <w:rPr>
                <w:rFonts w:hint="default" w:ascii="Times New Roman" w:hAnsi="Times New Roman" w:cs="Times New Roman"/>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2101102</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事业单位医疗</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19.74</w:t>
            </w:r>
            <w:r>
              <w:rPr>
                <w:rFonts w:hint="default" w:ascii="Times New Roman" w:hAnsi="Times New Roman" w:cs="Times New Roman"/>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19.74</w:t>
            </w:r>
            <w:r>
              <w:rPr>
                <w:rFonts w:hint="default" w:ascii="Times New Roman" w:hAnsi="Times New Roman" w:cs="Times New Roman"/>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农林水支出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22.64</w:t>
            </w:r>
            <w:r>
              <w:rPr>
                <w:rFonts w:hint="default" w:ascii="Times New Roman" w:hAnsi="Times New Roman" w:cs="Times New Roman"/>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22.64</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21305</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巩固脱贫攻坚成果衔接乡村振兴</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22.64</w:t>
            </w:r>
            <w:r>
              <w:rPr>
                <w:rFonts w:hint="default" w:ascii="Times New Roman" w:hAnsi="Times New Roman" w:cs="Times New Roman"/>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22.64</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2130599</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其他巩固脱贫攻坚成果衔接乡村振兴支出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22.64</w:t>
            </w:r>
            <w:r>
              <w:rPr>
                <w:rFonts w:hint="default" w:ascii="Times New Roman" w:hAnsi="Times New Roman" w:cs="Times New Roman"/>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22.64</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住房保障支出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78.14</w:t>
            </w:r>
            <w:r>
              <w:rPr>
                <w:rFonts w:hint="default" w:ascii="Times New Roman" w:hAnsi="Times New Roman" w:cs="Times New Roman"/>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78.14</w:t>
            </w:r>
            <w:r>
              <w:rPr>
                <w:rFonts w:hint="default" w:ascii="Times New Roman" w:hAnsi="Times New Roman" w:cs="Times New Roman"/>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22102</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住房改革支出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78.14</w:t>
            </w:r>
            <w:r>
              <w:rPr>
                <w:rFonts w:hint="default" w:ascii="Times New Roman" w:hAnsi="Times New Roman" w:cs="Times New Roman"/>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78.14</w:t>
            </w:r>
            <w:r>
              <w:rPr>
                <w:rFonts w:hint="default" w:ascii="Times New Roman" w:hAnsi="Times New Roman" w:cs="Times New Roman"/>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2210201</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住房公积金</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78.14</w:t>
            </w:r>
            <w:r>
              <w:rPr>
                <w:rFonts w:hint="default" w:ascii="Times New Roman" w:hAnsi="Times New Roman" w:cs="Times New Roman"/>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78.14</w:t>
            </w:r>
            <w:r>
              <w:rPr>
                <w:rFonts w:hint="default" w:ascii="Times New Roman" w:hAnsi="Times New Roman" w:cs="Times New Roman"/>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222</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粮油物资储备支出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515.81</w:t>
            </w:r>
            <w:r>
              <w:rPr>
                <w:rFonts w:hint="default" w:ascii="Times New Roman" w:hAnsi="Times New Roman" w:cs="Times New Roman"/>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515.81</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22204</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粮油储备</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515.81</w:t>
            </w:r>
            <w:r>
              <w:rPr>
                <w:rFonts w:hint="default" w:ascii="Times New Roman" w:hAnsi="Times New Roman" w:cs="Times New Roman"/>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515.81</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2220499</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其他粮油储备支出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515.81</w:t>
            </w:r>
            <w:r>
              <w:rPr>
                <w:rFonts w:hint="default" w:ascii="Times New Roman" w:hAnsi="Times New Roman" w:cs="Times New Roman"/>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515.81</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224</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灾害防治及应急管理支出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7.59</w:t>
            </w:r>
            <w:r>
              <w:rPr>
                <w:rFonts w:hint="default" w:ascii="Times New Roman" w:hAnsi="Times New Roman" w:cs="Times New Roman"/>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7.59</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22401</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应急管理事务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7.59</w:t>
            </w:r>
            <w:r>
              <w:rPr>
                <w:rFonts w:hint="default" w:ascii="Times New Roman" w:hAnsi="Times New Roman" w:cs="Times New Roman"/>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7.59</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2240109</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应急管理</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7.59</w:t>
            </w:r>
            <w:r>
              <w:rPr>
                <w:rFonts w:hint="default" w:ascii="Times New Roman" w:hAnsi="Times New Roman" w:cs="Times New Roman"/>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7.59</w:t>
            </w:r>
            <w:r>
              <w:rPr>
                <w:rFonts w:hint="default" w:ascii="Times New Roman" w:hAnsi="Times New Roman" w:cs="Times New Roman"/>
                <w:color w:val="000000"/>
                <w:sz w:val="20"/>
                <w:u w:color="auto"/>
              </w:rPr>
              <w:t xml:space="preserve"> </w:t>
            </w:r>
          </w:p>
        </w:tc>
      </w:tr>
    </w:tbl>
    <w:p>
      <w:pPr>
        <w:rPr>
          <w:rFonts w:hint="default" w:ascii="Times New Roman" w:hAnsi="Times New Roman" w:cs="Times New Roman"/>
          <w:sz w:val="21"/>
          <w:szCs w:val="21"/>
        </w:rPr>
      </w:pPr>
      <w:r>
        <w:rPr>
          <w:rFonts w:hint="default" w:ascii="Times New Roman" w:hAnsi="Times New Roman" w:cs="Times New Roman"/>
          <w:sz w:val="20"/>
          <w:szCs w:val="20"/>
        </w:rPr>
        <w:t>备注：1.本表反映部门本年度一般公共预算财政拨款支出情况。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pPr>
        <w:ind w:firstLine="630" w:firstLineChars="300"/>
        <w:rPr>
          <w:rFonts w:hint="default" w:ascii="Times New Roman" w:hAnsi="Times New Roman" w:cs="Times New Roman"/>
          <w:sz w:val="21"/>
          <w:szCs w:val="21"/>
        </w:rPr>
      </w:pPr>
      <w:r>
        <w:rPr>
          <w:rFonts w:hint="default" w:ascii="Times New Roman" w:hAnsi="Times New Roman" w:cs="Times New Roman"/>
          <w:sz w:val="21"/>
          <w:szCs w:val="21"/>
        </w:rPr>
        <w:br w:type="page"/>
      </w:r>
    </w:p>
    <w:tbl>
      <w:tblPr>
        <w:tblStyle w:val="10"/>
        <w:tblW w:w="15304" w:type="dxa"/>
        <w:tblInd w:w="0" w:type="dxa"/>
        <w:tblLayout w:type="fixed"/>
        <w:tblCellMar>
          <w:top w:w="0" w:type="dxa"/>
          <w:left w:w="0" w:type="dxa"/>
          <w:bottom w:w="0" w:type="dxa"/>
          <w:right w:w="0" w:type="dxa"/>
        </w:tblCellMar>
      </w:tblPr>
      <w:tblGrid>
        <w:gridCol w:w="603"/>
        <w:gridCol w:w="2730"/>
        <w:gridCol w:w="1371"/>
        <w:gridCol w:w="833"/>
        <w:gridCol w:w="1916"/>
        <w:gridCol w:w="1650"/>
        <w:gridCol w:w="805"/>
        <w:gridCol w:w="3514"/>
        <w:gridCol w:w="1882"/>
      </w:tblGrid>
      <w:tr>
        <w:tblPrEx>
          <w:tblLayout w:type="fixed"/>
          <w:tblCellMar>
            <w:top w:w="0" w:type="dxa"/>
            <w:left w:w="0" w:type="dxa"/>
            <w:bottom w:w="0" w:type="dxa"/>
            <w:right w:w="0" w:type="dxa"/>
          </w:tblCellMar>
        </w:tblPrEx>
        <w:trPr>
          <w:trHeight w:val="90" w:hRule="atLeast"/>
        </w:trPr>
        <w:tc>
          <w:tcPr>
            <w:tcW w:w="15304" w:type="dxa"/>
            <w:gridSpan w:val="9"/>
            <w:tcBorders>
              <w:top w:val="nil"/>
              <w:left w:val="nil"/>
              <w:bottom w:val="nil"/>
              <w:right w:val="nil"/>
            </w:tcBorders>
            <w:shd w:val="clear" w:color="auto" w:fill="auto"/>
            <w:tcMar>
              <w:top w:w="15" w:type="dxa"/>
              <w:left w:w="15" w:type="dxa"/>
              <w:right w:w="15" w:type="dxa"/>
            </w:tcMar>
            <w:vAlign w:val="bottom"/>
          </w:tcPr>
          <w:p>
            <w:pPr>
              <w:spacing w:line="440"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一般公共预算财政拨款基本支出决算表</w:t>
            </w:r>
          </w:p>
        </w:tc>
      </w:tr>
      <w:tr>
        <w:tblPrEx>
          <w:tblLayout w:type="fixed"/>
          <w:tblCellMar>
            <w:top w:w="0" w:type="dxa"/>
            <w:left w:w="0" w:type="dxa"/>
            <w:bottom w:w="0" w:type="dxa"/>
            <w:right w:w="0" w:type="dxa"/>
          </w:tblCellMar>
        </w:tblPrEx>
        <w:trPr>
          <w:trHeight w:val="90" w:hRule="atLeast"/>
        </w:trPr>
        <w:tc>
          <w:tcPr>
            <w:tcW w:w="7453" w:type="dxa"/>
            <w:gridSpan w:val="5"/>
            <w:vMerge w:val="restart"/>
            <w:tcBorders>
              <w:top w:val="nil"/>
              <w:left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r>
              <w:rPr>
                <w:rFonts w:hint="default" w:ascii="Times New Roman" w:hAnsi="Times New Roman" w:cs="Times New Roman"/>
                <w:sz w:val="20"/>
                <w:szCs w:val="20"/>
              </w:rPr>
              <w:t>公开部门</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重庆市秀山土家族苗族自治县发展和改革委员会</w:t>
            </w:r>
          </w:p>
        </w:tc>
        <w:tc>
          <w:tcPr>
            <w:tcW w:w="165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805"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351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882"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公开06表</w:t>
            </w:r>
          </w:p>
        </w:tc>
      </w:tr>
      <w:tr>
        <w:tblPrEx>
          <w:tblLayout w:type="fixed"/>
          <w:tblCellMar>
            <w:top w:w="0" w:type="dxa"/>
            <w:left w:w="0" w:type="dxa"/>
            <w:bottom w:w="0" w:type="dxa"/>
            <w:right w:w="0" w:type="dxa"/>
          </w:tblCellMar>
        </w:tblPrEx>
        <w:trPr>
          <w:trHeight w:val="90" w:hRule="atLeast"/>
        </w:trPr>
        <w:tc>
          <w:tcPr>
            <w:tcW w:w="7453" w:type="dxa"/>
            <w:gridSpan w:val="5"/>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65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805"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351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882"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Layout w:type="fixed"/>
          <w:tblCellMar>
            <w:top w:w="0" w:type="dxa"/>
            <w:left w:w="0" w:type="dxa"/>
            <w:bottom w:w="0" w:type="dxa"/>
            <w:right w:w="0" w:type="dxa"/>
          </w:tblCellMar>
        </w:tblPrEx>
        <w:trPr>
          <w:trHeight w:val="90" w:hRule="atLeast"/>
        </w:trPr>
        <w:tc>
          <w:tcPr>
            <w:tcW w:w="4704" w:type="dxa"/>
            <w:gridSpan w:val="3"/>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人员经费</w:t>
            </w:r>
          </w:p>
        </w:tc>
        <w:tc>
          <w:tcPr>
            <w:tcW w:w="10600" w:type="dxa"/>
            <w:gridSpan w:val="6"/>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公用经费</w:t>
            </w:r>
          </w:p>
        </w:tc>
      </w:tr>
      <w:tr>
        <w:tblPrEx>
          <w:tblLayout w:type="fixed"/>
          <w:tblCellMar>
            <w:top w:w="0" w:type="dxa"/>
            <w:left w:w="0" w:type="dxa"/>
            <w:bottom w:w="0" w:type="dxa"/>
            <w:right w:w="0" w:type="dxa"/>
          </w:tblCellMar>
        </w:tblPrEx>
        <w:trPr>
          <w:trHeight w:val="312" w:hRule="atLeast"/>
        </w:trPr>
        <w:tc>
          <w:tcPr>
            <w:tcW w:w="603"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经济分类科目编码</w:t>
            </w:r>
          </w:p>
        </w:tc>
        <w:tc>
          <w:tcPr>
            <w:tcW w:w="273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经济分类科目（按“款”级功能分类科目）</w:t>
            </w:r>
          </w:p>
        </w:tc>
        <w:tc>
          <w:tcPr>
            <w:tcW w:w="137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金额</w:t>
            </w:r>
          </w:p>
        </w:tc>
        <w:tc>
          <w:tcPr>
            <w:tcW w:w="833"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经济分类科目编码</w:t>
            </w:r>
          </w:p>
        </w:tc>
        <w:tc>
          <w:tcPr>
            <w:tcW w:w="191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经济分类科目（按“款”级功能分类科目）</w:t>
            </w:r>
          </w:p>
        </w:tc>
        <w:tc>
          <w:tcPr>
            <w:tcW w:w="165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金额</w:t>
            </w:r>
          </w:p>
        </w:tc>
        <w:tc>
          <w:tcPr>
            <w:tcW w:w="80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经济分类科目编码</w:t>
            </w:r>
          </w:p>
        </w:tc>
        <w:tc>
          <w:tcPr>
            <w:tcW w:w="351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经济分类科目（按“款”级功能分类科目）</w:t>
            </w:r>
          </w:p>
        </w:tc>
        <w:tc>
          <w:tcPr>
            <w:tcW w:w="188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金额</w:t>
            </w:r>
          </w:p>
        </w:tc>
      </w:tr>
      <w:tr>
        <w:tblPrEx>
          <w:tblLayout w:type="fixed"/>
          <w:tblCellMar>
            <w:top w:w="0" w:type="dxa"/>
            <w:left w:w="0" w:type="dxa"/>
            <w:bottom w:w="0" w:type="dxa"/>
            <w:right w:w="0" w:type="dxa"/>
          </w:tblCellMar>
        </w:tblPrEx>
        <w:trPr>
          <w:trHeight w:val="312" w:hRule="atLeast"/>
        </w:trPr>
        <w:tc>
          <w:tcPr>
            <w:tcW w:w="6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273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137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83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191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165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80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351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188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工资福利支出</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971.78</w:t>
            </w:r>
            <w:r>
              <w:rPr>
                <w:rFonts w:hint="default" w:ascii="Times New Roman" w:hAnsi="Times New Roman" w:cs="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商品和服务支出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201.63</w:t>
            </w:r>
            <w:r>
              <w:rPr>
                <w:rFonts w:hint="default" w:ascii="Times New Roman" w:hAnsi="Times New Roman" w:cs="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资本性支出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44.54</w:t>
            </w: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30101</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基本工资</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244.77</w:t>
            </w:r>
            <w:r>
              <w:rPr>
                <w:rFonts w:hint="default" w:ascii="Times New Roman" w:hAnsi="Times New Roman" w:cs="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30201</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办公费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38.91</w:t>
            </w:r>
            <w:r>
              <w:rPr>
                <w:rFonts w:hint="default" w:ascii="Times New Roman" w:hAnsi="Times New Roman" w:cs="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31001</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房屋建筑物购建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30102</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津贴补贴</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145.36</w:t>
            </w:r>
            <w:r>
              <w:rPr>
                <w:rFonts w:hint="default" w:ascii="Times New Roman" w:hAnsi="Times New Roman" w:cs="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30202</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印刷费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31002</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办公设备购置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30103</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奖金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130.23</w:t>
            </w:r>
            <w:r>
              <w:rPr>
                <w:rFonts w:hint="default" w:ascii="Times New Roman" w:hAnsi="Times New Roman" w:cs="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30203</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咨询费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7.00</w:t>
            </w:r>
            <w:r>
              <w:rPr>
                <w:rFonts w:hint="default" w:ascii="Times New Roman" w:hAnsi="Times New Roman" w:cs="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31003</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专用设备购置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30106</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伙食补助费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30204</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手续费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31005</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基础设施建设</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30107</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绩效工资</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175.21</w:t>
            </w:r>
            <w:r>
              <w:rPr>
                <w:rFonts w:hint="default" w:ascii="Times New Roman" w:hAnsi="Times New Roman" w:cs="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30205</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水费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0.05</w:t>
            </w:r>
            <w:r>
              <w:rPr>
                <w:rFonts w:hint="default" w:ascii="Times New Roman" w:hAnsi="Times New Roman" w:cs="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31006</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大型修缮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30108</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机关事业单位基本养老保险缴费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84.71</w:t>
            </w:r>
            <w:r>
              <w:rPr>
                <w:rFonts w:hint="default" w:ascii="Times New Roman" w:hAnsi="Times New Roman" w:cs="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30206</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电费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1.96</w:t>
            </w:r>
            <w:r>
              <w:rPr>
                <w:rFonts w:hint="default" w:ascii="Times New Roman" w:hAnsi="Times New Roman" w:cs="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31007</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信息网络及软件购置更新</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30109</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职业年金缴费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41.96</w:t>
            </w:r>
            <w:r>
              <w:rPr>
                <w:rFonts w:hint="default" w:ascii="Times New Roman" w:hAnsi="Times New Roman" w:cs="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30207</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邮电费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19.06</w:t>
            </w:r>
            <w:r>
              <w:rPr>
                <w:rFonts w:hint="default" w:ascii="Times New Roman" w:hAnsi="Times New Roman" w:cs="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31008</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物资储备</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30110</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职工基本医疗保险缴费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45.22</w:t>
            </w:r>
            <w:r>
              <w:rPr>
                <w:rFonts w:hint="default" w:ascii="Times New Roman" w:hAnsi="Times New Roman" w:cs="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30208</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取暖费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土地补偿</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30111</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公务员医疗补助缴费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30209</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物业管理费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7.40</w:t>
            </w:r>
            <w:r>
              <w:rPr>
                <w:rFonts w:hint="default" w:ascii="Times New Roman" w:hAnsi="Times New Roman" w:cs="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31010</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安置补助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30112</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其他社会保障缴费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1.36</w:t>
            </w:r>
            <w:r>
              <w:rPr>
                <w:rFonts w:hint="default" w:ascii="Times New Roman" w:hAnsi="Times New Roman" w:cs="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30211</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差旅费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21.55</w:t>
            </w:r>
            <w:r>
              <w:rPr>
                <w:rFonts w:hint="default" w:ascii="Times New Roman" w:hAnsi="Times New Roman" w:cs="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31011</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地上附着物和青苗补偿</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30113</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住房公积金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78.14</w:t>
            </w:r>
            <w:r>
              <w:rPr>
                <w:rFonts w:hint="default" w:ascii="Times New Roman" w:hAnsi="Times New Roman" w:cs="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30212</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因公出国（境）费用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31012</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拆迁补偿</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30114</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医疗费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11.76</w:t>
            </w:r>
            <w:r>
              <w:rPr>
                <w:rFonts w:hint="default" w:ascii="Times New Roman" w:hAnsi="Times New Roman" w:cs="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30213</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维修（护）费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2.24</w:t>
            </w:r>
            <w:r>
              <w:rPr>
                <w:rFonts w:hint="default" w:ascii="Times New Roman" w:hAnsi="Times New Roman" w:cs="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31013</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公务用车购置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44.54</w:t>
            </w: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30199</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其他工资福利支出</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13.06</w:t>
            </w:r>
            <w:r>
              <w:rPr>
                <w:rFonts w:hint="default" w:ascii="Times New Roman" w:hAnsi="Times New Roman" w:cs="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30214</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租赁费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其他交通工具购置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对个人和家庭的补助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124.03</w:t>
            </w:r>
            <w:r>
              <w:rPr>
                <w:rFonts w:hint="default" w:ascii="Times New Roman" w:hAnsi="Times New Roman" w:cs="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30215</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会议费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31021</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文物和陈列品购置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30301</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离休费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30216</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培训费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4.98</w:t>
            </w:r>
            <w:r>
              <w:rPr>
                <w:rFonts w:hint="default" w:ascii="Times New Roman" w:hAnsi="Times New Roman" w:cs="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31022</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无形资产购置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30302</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退休费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30217</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公务接待费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3.37</w:t>
            </w:r>
            <w:r>
              <w:rPr>
                <w:rFonts w:hint="default" w:ascii="Times New Roman" w:hAnsi="Times New Roman" w:cs="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31099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其他资本性支出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30303</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退职（役）费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30218</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专用材料费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对企业补助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30304</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抚恤金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54.36</w:t>
            </w:r>
            <w:r>
              <w:rPr>
                <w:rFonts w:hint="default" w:ascii="Times New Roman" w:hAnsi="Times New Roman" w:cs="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30224</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被装购置费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31201</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资本金注入</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30305</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生活补助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64.83</w:t>
            </w:r>
            <w:r>
              <w:rPr>
                <w:rFonts w:hint="default" w:ascii="Times New Roman" w:hAnsi="Times New Roman" w:cs="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30225</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专用燃料费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31203</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政府投资基金股权投资</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30306</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救济费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30226</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劳务费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10.55</w:t>
            </w:r>
            <w:r>
              <w:rPr>
                <w:rFonts w:hint="default" w:ascii="Times New Roman" w:hAnsi="Times New Roman" w:cs="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31204</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费用补贴</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30307</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医疗费补助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4.84</w:t>
            </w:r>
            <w:r>
              <w:rPr>
                <w:rFonts w:hint="default" w:ascii="Times New Roman" w:hAnsi="Times New Roman" w:cs="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30227</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委托业务费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31205</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利息补贴</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30308</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助学金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30228</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工会经费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2.87</w:t>
            </w:r>
            <w:r>
              <w:rPr>
                <w:rFonts w:hint="default" w:ascii="Times New Roman" w:hAnsi="Times New Roman" w:cs="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31299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其他对企业补助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30309</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奖励金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30229</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福利费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7.17</w:t>
            </w:r>
            <w:r>
              <w:rPr>
                <w:rFonts w:hint="default" w:ascii="Times New Roman" w:hAnsi="Times New Roman" w:cs="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其他支出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30310</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个人农业生产补贴</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30231</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公务用车运行维护费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9.38</w:t>
            </w:r>
            <w:r>
              <w:rPr>
                <w:rFonts w:hint="default" w:ascii="Times New Roman" w:hAnsi="Times New Roman" w:cs="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39907</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国家赔偿费用支出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30311</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代缴社会保险费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30239</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其他交通费用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29.71</w:t>
            </w:r>
            <w:r>
              <w:rPr>
                <w:rFonts w:hint="default" w:ascii="Times New Roman" w:hAnsi="Times New Roman" w:cs="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39908</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对民间非营利组织和群众性自治组织补贴</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30399</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其他对个人和家庭的补助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30240</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税金及附加费用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39909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经常性赠与</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30299</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其他商品和服务支出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35.43</w:t>
            </w:r>
            <w:r>
              <w:rPr>
                <w:rFonts w:hint="default" w:ascii="Times New Roman" w:hAnsi="Times New Roman" w:cs="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39910</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资本性赠与</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债务利息及费用支出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39999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30701</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国内债务付息</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30702</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国外债务付息</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30703</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国内债务发行费用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30704</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国外债务发行费用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3333"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人员经费合计</w:t>
            </w:r>
          </w:p>
        </w:tc>
        <w:tc>
          <w:tcPr>
            <w:tcW w:w="137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1,095.81</w:t>
            </w:r>
            <w:r>
              <w:rPr>
                <w:rFonts w:hint="default" w:ascii="Times New Roman" w:hAnsi="Times New Roman" w:cs="Times New Roman"/>
                <w:color w:val="000000"/>
                <w:sz w:val="18"/>
                <w:u w:color="auto"/>
              </w:rPr>
              <w:t xml:space="preserve"> </w:t>
            </w:r>
          </w:p>
        </w:tc>
        <w:tc>
          <w:tcPr>
            <w:tcW w:w="8718" w:type="dxa"/>
            <w:gridSpan w:val="5"/>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公用经费合计</w:t>
            </w:r>
          </w:p>
        </w:tc>
        <w:tc>
          <w:tcPr>
            <w:tcW w:w="18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246.17</w:t>
            </w:r>
            <w:r>
              <w:rPr>
                <w:rFonts w:hint="default" w:ascii="Times New Roman" w:hAnsi="Times New Roman" w:cs="Times New Roman"/>
                <w:color w:val="000000"/>
                <w:sz w:val="18"/>
                <w:u w:color="auto"/>
              </w:rPr>
              <w:t xml:space="preserve"> </w:t>
            </w:r>
          </w:p>
        </w:tc>
      </w:tr>
    </w:tbl>
    <w:p>
      <w:pPr>
        <w:spacing w:line="280" w:lineRule="exact"/>
        <w:rPr>
          <w:rFonts w:hint="default" w:ascii="Times New Roman" w:hAnsi="Times New Roman" w:cs="Times New Roman"/>
          <w:sz w:val="20"/>
          <w:szCs w:val="20"/>
        </w:rPr>
      </w:pPr>
      <w:r>
        <w:rPr>
          <w:rFonts w:hint="default" w:ascii="Times New Roman" w:hAnsi="Times New Roman" w:cs="Times New Roman"/>
          <w:sz w:val="20"/>
          <w:szCs w:val="20"/>
        </w:rPr>
        <w:t>备注：1.本表反映部门本年度一般公共预算财政拨款基本支出明细情况。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r>
        <w:rPr>
          <w:rFonts w:hint="default" w:ascii="Times New Roman" w:hAnsi="Times New Roman" w:cs="Times New Roman"/>
          <w:sz w:val="21"/>
          <w:szCs w:val="21"/>
        </w:rPr>
        <w:br w:type="page"/>
      </w:r>
    </w:p>
    <w:tbl>
      <w:tblPr>
        <w:tblStyle w:val="10"/>
        <w:tblW w:w="15322" w:type="dxa"/>
        <w:tblInd w:w="0" w:type="dxa"/>
        <w:tblLayout w:type="fixed"/>
        <w:tblCellMar>
          <w:top w:w="0" w:type="dxa"/>
          <w:left w:w="0" w:type="dxa"/>
          <w:bottom w:w="0" w:type="dxa"/>
          <w:right w:w="0" w:type="dxa"/>
        </w:tblCellMar>
      </w:tblPr>
      <w:tblGrid>
        <w:gridCol w:w="1847"/>
        <w:gridCol w:w="3077"/>
        <w:gridCol w:w="1701"/>
        <w:gridCol w:w="1701"/>
        <w:gridCol w:w="1701"/>
        <w:gridCol w:w="1701"/>
        <w:gridCol w:w="1765"/>
        <w:gridCol w:w="1829"/>
      </w:tblGrid>
      <w:tr>
        <w:tblPrEx>
          <w:tblLayout w:type="fixed"/>
          <w:tblCellMar>
            <w:top w:w="0" w:type="dxa"/>
            <w:left w:w="0" w:type="dxa"/>
            <w:bottom w:w="0" w:type="dxa"/>
            <w:right w:w="0" w:type="dxa"/>
          </w:tblCellMar>
        </w:tblPrEx>
        <w:trPr>
          <w:trHeight w:val="644" w:hRule="atLeast"/>
        </w:trPr>
        <w:tc>
          <w:tcPr>
            <w:tcW w:w="15322"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政府性基金预算财政拨款收入支出决算表</w:t>
            </w:r>
          </w:p>
        </w:tc>
      </w:tr>
      <w:tr>
        <w:tblPrEx>
          <w:tblLayout w:type="fixed"/>
          <w:tblCellMar>
            <w:top w:w="0" w:type="dxa"/>
            <w:left w:w="0" w:type="dxa"/>
            <w:bottom w:w="0" w:type="dxa"/>
            <w:right w:w="0" w:type="dxa"/>
          </w:tblCellMar>
        </w:tblPrEx>
        <w:trPr>
          <w:trHeight w:val="329" w:hRule="atLeast"/>
        </w:trPr>
        <w:tc>
          <w:tcPr>
            <w:tcW w:w="6625"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r>
              <w:rPr>
                <w:rFonts w:hint="default" w:ascii="Times New Roman" w:hAnsi="Times New Roman" w:cs="Times New Roman"/>
                <w:sz w:val="20"/>
                <w:szCs w:val="20"/>
              </w:rPr>
              <w:t>公开部门</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重庆市秀山土家族苗族自治县发展和改革委员会</w:t>
            </w: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765"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829"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公开07表</w:t>
            </w:r>
          </w:p>
        </w:tc>
      </w:tr>
      <w:tr>
        <w:tblPrEx>
          <w:tblLayout w:type="fixed"/>
          <w:tblCellMar>
            <w:top w:w="0" w:type="dxa"/>
            <w:left w:w="0" w:type="dxa"/>
            <w:bottom w:w="0" w:type="dxa"/>
            <w:right w:w="0" w:type="dxa"/>
          </w:tblCellMar>
        </w:tblPrEx>
        <w:trPr>
          <w:trHeight w:val="329" w:hRule="atLeast"/>
        </w:trPr>
        <w:tc>
          <w:tcPr>
            <w:tcW w:w="6625"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765"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829"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Layout w:type="fixed"/>
          <w:tblCellMar>
            <w:top w:w="0" w:type="dxa"/>
            <w:left w:w="0" w:type="dxa"/>
            <w:bottom w:w="0" w:type="dxa"/>
            <w:right w:w="0" w:type="dxa"/>
          </w:tblCellMar>
        </w:tblPrEx>
        <w:trPr>
          <w:trHeight w:val="339" w:hRule="atLeast"/>
        </w:trPr>
        <w:tc>
          <w:tcPr>
            <w:tcW w:w="4924"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1701"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年初结转和结余</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本年收入</w:t>
            </w:r>
          </w:p>
        </w:tc>
        <w:tc>
          <w:tcPr>
            <w:tcW w:w="5167"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w:t>
            </w:r>
          </w:p>
        </w:tc>
        <w:tc>
          <w:tcPr>
            <w:tcW w:w="182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年末结转和结余</w:t>
            </w:r>
          </w:p>
        </w:tc>
      </w:tr>
      <w:tr>
        <w:tblPrEx>
          <w:tblLayout w:type="fixed"/>
          <w:tblCellMar>
            <w:top w:w="0" w:type="dxa"/>
            <w:left w:w="0" w:type="dxa"/>
            <w:bottom w:w="0" w:type="dxa"/>
            <w:right w:w="0" w:type="dxa"/>
          </w:tblCellMar>
        </w:tblPrEx>
        <w:trPr>
          <w:trHeight w:val="335" w:hRule="atLeast"/>
        </w:trPr>
        <w:tc>
          <w:tcPr>
            <w:tcW w:w="184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307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1701"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70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176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c>
          <w:tcPr>
            <w:tcW w:w="18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5" w:hRule="atLeast"/>
        </w:trPr>
        <w:tc>
          <w:tcPr>
            <w:tcW w:w="18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07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6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8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645" w:hRule="atLeast"/>
        </w:trPr>
        <w:tc>
          <w:tcPr>
            <w:tcW w:w="18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07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6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8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9" w:hRule="atLeast"/>
        </w:trPr>
        <w:tc>
          <w:tcPr>
            <w:tcW w:w="4924"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8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r>
    </w:tbl>
    <w:p>
      <w:pPr>
        <w:rPr>
          <w:rFonts w:hint="default" w:ascii="Times New Roman" w:hAnsi="Times New Roman" w:cs="Times New Roman"/>
          <w:sz w:val="21"/>
          <w:szCs w:val="21"/>
        </w:rPr>
      </w:pPr>
      <w:r>
        <w:rPr>
          <w:rFonts w:hint="default" w:ascii="Times New Roman" w:hAnsi="Times New Roman" w:cs="Times New Roman"/>
          <w:sz w:val="20"/>
          <w:szCs w:val="20"/>
        </w:rPr>
        <w:t>备注：本表反映部门本年度政府性基金预算财政拨款收入支出及结转和结余情况。本部门无政府性基金收支，故本表无数据。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pPr>
        <w:rPr>
          <w:rFonts w:hint="default" w:ascii="Times New Roman" w:hAnsi="Times New Roman" w:cs="Times New Roman"/>
          <w:sz w:val="21"/>
          <w:szCs w:val="21"/>
        </w:rPr>
      </w:pPr>
      <w:r>
        <w:rPr>
          <w:rFonts w:hint="default" w:ascii="Times New Roman" w:hAnsi="Times New Roman" w:cs="Times New Roman"/>
          <w:sz w:val="21"/>
          <w:szCs w:val="21"/>
        </w:rPr>
        <w:br w:type="page"/>
      </w:r>
    </w:p>
    <w:tbl>
      <w:tblPr>
        <w:tblStyle w:val="10"/>
        <w:tblW w:w="15322" w:type="dxa"/>
        <w:tblInd w:w="0" w:type="dxa"/>
        <w:tblLayout w:type="fixed"/>
        <w:tblCellMar>
          <w:top w:w="0" w:type="dxa"/>
          <w:left w:w="0" w:type="dxa"/>
          <w:bottom w:w="0" w:type="dxa"/>
          <w:right w:w="0" w:type="dxa"/>
        </w:tblCellMar>
      </w:tblPr>
      <w:tblGrid>
        <w:gridCol w:w="1875"/>
        <w:gridCol w:w="3049"/>
        <w:gridCol w:w="3264"/>
        <w:gridCol w:w="199"/>
        <w:gridCol w:w="3463"/>
        <w:gridCol w:w="77"/>
        <w:gridCol w:w="3395"/>
      </w:tblGrid>
      <w:tr>
        <w:tblPrEx>
          <w:tblLayout w:type="fixed"/>
          <w:tblCellMar>
            <w:top w:w="0" w:type="dxa"/>
            <w:left w:w="0" w:type="dxa"/>
            <w:bottom w:w="0" w:type="dxa"/>
            <w:right w:w="0" w:type="dxa"/>
          </w:tblCellMar>
        </w:tblPrEx>
        <w:trPr>
          <w:trHeight w:val="650" w:hRule="atLeast"/>
        </w:trPr>
        <w:tc>
          <w:tcPr>
            <w:tcW w:w="15322" w:type="dxa"/>
            <w:gridSpan w:val="7"/>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国有资本经营预算财政拨款支出决算表</w:t>
            </w:r>
          </w:p>
        </w:tc>
      </w:tr>
      <w:tr>
        <w:tblPrEx>
          <w:tblLayout w:type="fixed"/>
          <w:tblCellMar>
            <w:top w:w="0" w:type="dxa"/>
            <w:left w:w="0" w:type="dxa"/>
            <w:bottom w:w="0" w:type="dxa"/>
            <w:right w:w="0" w:type="dxa"/>
          </w:tblCellMar>
        </w:tblPrEx>
        <w:trPr>
          <w:trHeight w:val="332" w:hRule="atLeast"/>
        </w:trPr>
        <w:tc>
          <w:tcPr>
            <w:tcW w:w="8188"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r>
              <w:rPr>
                <w:rFonts w:hint="default" w:ascii="Times New Roman" w:hAnsi="Times New Roman" w:cs="Times New Roman"/>
                <w:sz w:val="20"/>
                <w:szCs w:val="20"/>
              </w:rPr>
              <w:t>公开部门</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重庆市秀山土家族苗族自治县发展和改革委员会</w:t>
            </w:r>
          </w:p>
        </w:tc>
        <w:tc>
          <w:tcPr>
            <w:tcW w:w="3739" w:type="dxa"/>
            <w:gridSpan w:val="3"/>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3395"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公开08表</w:t>
            </w:r>
          </w:p>
        </w:tc>
      </w:tr>
      <w:tr>
        <w:tblPrEx>
          <w:tblLayout w:type="fixed"/>
          <w:tblCellMar>
            <w:top w:w="0" w:type="dxa"/>
            <w:left w:w="0" w:type="dxa"/>
            <w:bottom w:w="0" w:type="dxa"/>
            <w:right w:w="0" w:type="dxa"/>
          </w:tblCellMar>
        </w:tblPrEx>
        <w:trPr>
          <w:trHeight w:val="332" w:hRule="atLeast"/>
        </w:trPr>
        <w:tc>
          <w:tcPr>
            <w:tcW w:w="8188"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3739" w:type="dxa"/>
            <w:gridSpan w:val="3"/>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3395"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Layout w:type="fixed"/>
          <w:tblCellMar>
            <w:top w:w="0" w:type="dxa"/>
            <w:left w:w="0" w:type="dxa"/>
            <w:bottom w:w="0" w:type="dxa"/>
            <w:right w:w="0" w:type="dxa"/>
          </w:tblCellMar>
        </w:tblPrEx>
        <w:trPr>
          <w:trHeight w:val="422" w:hRule="atLeast"/>
        </w:trPr>
        <w:tc>
          <w:tcPr>
            <w:tcW w:w="4924"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10398" w:type="dxa"/>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w:t>
            </w:r>
          </w:p>
        </w:tc>
      </w:tr>
      <w:tr>
        <w:tblPrEx>
          <w:tblLayout w:type="fixed"/>
          <w:tblCellMar>
            <w:top w:w="0" w:type="dxa"/>
            <w:left w:w="0" w:type="dxa"/>
            <w:bottom w:w="0" w:type="dxa"/>
            <w:right w:w="0" w:type="dxa"/>
          </w:tblCellMar>
        </w:tblPrEx>
        <w:trPr>
          <w:trHeight w:val="339" w:hRule="atLeast"/>
        </w:trPr>
        <w:tc>
          <w:tcPr>
            <w:tcW w:w="187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304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科目名称</w:t>
            </w:r>
          </w:p>
        </w:tc>
        <w:tc>
          <w:tcPr>
            <w:tcW w:w="3463" w:type="dxa"/>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346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3472"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r>
      <w:tr>
        <w:tblPrEx>
          <w:tblLayout w:type="fixed"/>
          <w:tblCellMar>
            <w:top w:w="0" w:type="dxa"/>
            <w:left w:w="0" w:type="dxa"/>
            <w:bottom w:w="0" w:type="dxa"/>
            <w:right w:w="0" w:type="dxa"/>
          </w:tblCellMar>
        </w:tblPrEx>
        <w:trPr>
          <w:trHeight w:val="339" w:hRule="atLeast"/>
        </w:trPr>
        <w:tc>
          <w:tcPr>
            <w:tcW w:w="187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0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46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472"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9" w:hRule="atLeast"/>
        </w:trPr>
        <w:tc>
          <w:tcPr>
            <w:tcW w:w="187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0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46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472"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26" w:hRule="atLeast"/>
        </w:trPr>
        <w:tc>
          <w:tcPr>
            <w:tcW w:w="187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0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46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472"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611" w:hRule="atLeast"/>
        </w:trPr>
        <w:tc>
          <w:tcPr>
            <w:tcW w:w="4924"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346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3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cs="Times New Roman"/>
                <w:b/>
                <w:color w:val="000000"/>
                <w:sz w:val="20"/>
                <w:szCs w:val="20"/>
              </w:rPr>
            </w:pPr>
          </w:p>
        </w:tc>
        <w:tc>
          <w:tcPr>
            <w:tcW w:w="347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r>
    </w:tbl>
    <w:p>
      <w:pPr>
        <w:rPr>
          <w:rFonts w:hint="default" w:ascii="Times New Roman" w:hAnsi="Times New Roman" w:cs="Times New Roman"/>
          <w:sz w:val="21"/>
          <w:szCs w:val="21"/>
        </w:rPr>
      </w:pPr>
      <w:r>
        <w:rPr>
          <w:rFonts w:hint="default" w:ascii="Times New Roman" w:hAnsi="Times New Roman" w:cs="Times New Roman"/>
          <w:sz w:val="20"/>
          <w:szCs w:val="20"/>
        </w:rPr>
        <w:t>备注：本表反映部门本年度国有资本经营预算财政拨款支出情况。本部门无国有资本经营收支，故本表无数据。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pPr>
        <w:rPr>
          <w:rFonts w:hint="default" w:ascii="Times New Roman" w:hAnsi="Times New Roman" w:cs="Times New Roman"/>
          <w:sz w:val="21"/>
          <w:szCs w:val="21"/>
        </w:rPr>
      </w:pPr>
      <w:r>
        <w:rPr>
          <w:rFonts w:hint="default" w:ascii="Times New Roman" w:hAnsi="Times New Roman" w:cs="Times New Roman"/>
          <w:sz w:val="21"/>
          <w:szCs w:val="21"/>
        </w:rPr>
        <w:br w:type="page"/>
      </w:r>
    </w:p>
    <w:tbl>
      <w:tblPr>
        <w:tblStyle w:val="10"/>
        <w:tblW w:w="14862" w:type="dxa"/>
        <w:tblInd w:w="0" w:type="dxa"/>
        <w:tblLayout w:type="fixed"/>
        <w:tblCellMar>
          <w:top w:w="0" w:type="dxa"/>
          <w:left w:w="170" w:type="dxa"/>
          <w:bottom w:w="0" w:type="dxa"/>
          <w:right w:w="170" w:type="dxa"/>
        </w:tblCellMar>
      </w:tblPr>
      <w:tblGrid>
        <w:gridCol w:w="4004"/>
        <w:gridCol w:w="2146"/>
        <w:gridCol w:w="2093"/>
        <w:gridCol w:w="4482"/>
        <w:gridCol w:w="2137"/>
      </w:tblGrid>
      <w:tr>
        <w:tblPrEx>
          <w:tblLayout w:type="fixed"/>
          <w:tblCellMar>
            <w:top w:w="0" w:type="dxa"/>
            <w:left w:w="170" w:type="dxa"/>
            <w:bottom w:w="0" w:type="dxa"/>
            <w:right w:w="170" w:type="dxa"/>
          </w:tblCellMar>
        </w:tblPrEx>
        <w:trPr>
          <w:trHeight w:val="343" w:hRule="atLeast"/>
        </w:trPr>
        <w:tc>
          <w:tcPr>
            <w:tcW w:w="14862" w:type="dxa"/>
            <w:gridSpan w:val="5"/>
            <w:shd w:val="clear" w:color="auto" w:fill="auto"/>
            <w:tcMar>
              <w:top w:w="15" w:type="dxa"/>
              <w:left w:w="15" w:type="dxa"/>
              <w:right w:w="15" w:type="dxa"/>
            </w:tcMar>
            <w:vAlign w:val="bottom"/>
          </w:tcPr>
          <w:p>
            <w:pPr>
              <w:spacing w:line="400" w:lineRule="exact"/>
              <w:jc w:val="center"/>
              <w:textAlignment w:val="bottom"/>
              <w:rPr>
                <w:rFonts w:hint="default" w:ascii="Times New Roman" w:hAnsi="Times New Roman" w:cs="Times New Roman"/>
                <w:b/>
                <w:color w:val="000000"/>
                <w:kern w:val="2"/>
                <w:sz w:val="32"/>
                <w:szCs w:val="32"/>
              </w:rPr>
            </w:pPr>
            <w:r>
              <w:rPr>
                <w:rFonts w:hint="default" w:ascii="Times New Roman" w:hAnsi="Times New Roman" w:cs="Times New Roman"/>
                <w:b/>
                <w:color w:val="000000"/>
                <w:kern w:val="2"/>
                <w:sz w:val="32"/>
                <w:szCs w:val="32"/>
              </w:rPr>
              <w:t>机构运行信息表</w:t>
            </w:r>
          </w:p>
        </w:tc>
      </w:tr>
      <w:tr>
        <w:tblPrEx>
          <w:tblLayout w:type="fixed"/>
          <w:tblCellMar>
            <w:top w:w="0" w:type="dxa"/>
            <w:left w:w="170" w:type="dxa"/>
            <w:bottom w:w="0" w:type="dxa"/>
            <w:right w:w="170" w:type="dxa"/>
          </w:tblCellMar>
        </w:tblPrEx>
        <w:trPr>
          <w:trHeight w:val="244" w:hRule="atLeast"/>
        </w:trPr>
        <w:tc>
          <w:tcPr>
            <w:tcW w:w="4004" w:type="dxa"/>
            <w:shd w:val="clear" w:color="auto" w:fill="auto"/>
            <w:tcMar>
              <w:top w:w="15" w:type="dxa"/>
              <w:left w:w="15" w:type="dxa"/>
              <w:right w:w="15" w:type="dxa"/>
            </w:tcMar>
            <w:vAlign w:val="bottom"/>
          </w:tcPr>
          <w:p>
            <w:pPr>
              <w:spacing w:line="280" w:lineRule="exact"/>
              <w:rPr>
                <w:rFonts w:hint="default" w:ascii="Times New Roman" w:hAnsi="Times New Roman" w:cs="Times New Roman"/>
                <w:color w:val="000000"/>
                <w:kern w:val="2"/>
                <w:sz w:val="20"/>
                <w:szCs w:val="20"/>
              </w:rPr>
            </w:pPr>
          </w:p>
        </w:tc>
        <w:tc>
          <w:tcPr>
            <w:tcW w:w="2146" w:type="dxa"/>
            <w:shd w:val="clear" w:color="auto" w:fill="auto"/>
            <w:tcMar>
              <w:top w:w="15" w:type="dxa"/>
              <w:left w:w="15" w:type="dxa"/>
              <w:right w:w="15" w:type="dxa"/>
            </w:tcMar>
            <w:vAlign w:val="bottom"/>
          </w:tcPr>
          <w:p>
            <w:pPr>
              <w:spacing w:line="280" w:lineRule="exact"/>
              <w:jc w:val="center"/>
              <w:rPr>
                <w:rFonts w:hint="default" w:ascii="Times New Roman" w:hAnsi="Times New Roman" w:cs="Times New Roman"/>
                <w:color w:val="000000"/>
                <w:kern w:val="2"/>
                <w:sz w:val="20"/>
                <w:szCs w:val="20"/>
              </w:rPr>
            </w:pPr>
          </w:p>
        </w:tc>
        <w:tc>
          <w:tcPr>
            <w:tcW w:w="2093" w:type="dxa"/>
            <w:shd w:val="clear" w:color="auto" w:fill="auto"/>
            <w:tcMar>
              <w:top w:w="15" w:type="dxa"/>
              <w:left w:w="15" w:type="dxa"/>
              <w:right w:w="15" w:type="dxa"/>
            </w:tcMar>
            <w:vAlign w:val="bottom"/>
          </w:tcPr>
          <w:p>
            <w:pPr>
              <w:spacing w:line="280" w:lineRule="exact"/>
              <w:jc w:val="right"/>
              <w:rPr>
                <w:rFonts w:hint="default" w:ascii="Times New Roman" w:hAnsi="Times New Roman" w:cs="Times New Roman"/>
                <w:color w:val="000000"/>
                <w:kern w:val="2"/>
                <w:sz w:val="20"/>
                <w:szCs w:val="20"/>
              </w:rPr>
            </w:pPr>
          </w:p>
        </w:tc>
        <w:tc>
          <w:tcPr>
            <w:tcW w:w="4482" w:type="dxa"/>
            <w:shd w:val="clear" w:color="auto" w:fill="auto"/>
            <w:tcMar>
              <w:top w:w="15" w:type="dxa"/>
              <w:left w:w="15" w:type="dxa"/>
              <w:right w:w="15" w:type="dxa"/>
            </w:tcMar>
            <w:vAlign w:val="bottom"/>
          </w:tcPr>
          <w:p>
            <w:pPr>
              <w:spacing w:line="280" w:lineRule="exact"/>
              <w:rPr>
                <w:rFonts w:hint="default" w:ascii="Times New Roman" w:hAnsi="Times New Roman" w:cs="Times New Roman"/>
                <w:color w:val="000000"/>
                <w:kern w:val="2"/>
                <w:sz w:val="20"/>
                <w:szCs w:val="20"/>
              </w:rPr>
            </w:pPr>
          </w:p>
        </w:tc>
        <w:tc>
          <w:tcPr>
            <w:tcW w:w="2137" w:type="dxa"/>
            <w:shd w:val="clear" w:color="auto" w:fill="auto"/>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kern w:val="2"/>
                <w:sz w:val="20"/>
                <w:szCs w:val="20"/>
              </w:rPr>
            </w:pPr>
            <w:r>
              <w:rPr>
                <w:rFonts w:hint="default" w:ascii="Times New Roman" w:hAnsi="Times New Roman" w:cs="Times New Roman"/>
                <w:color w:val="000000"/>
                <w:kern w:val="2"/>
                <w:sz w:val="20"/>
                <w:szCs w:val="20"/>
              </w:rPr>
              <w:t>公开09表</w:t>
            </w:r>
          </w:p>
        </w:tc>
      </w:tr>
      <w:tr>
        <w:tblPrEx>
          <w:tblLayout w:type="fixed"/>
          <w:tblCellMar>
            <w:top w:w="0" w:type="dxa"/>
            <w:left w:w="170" w:type="dxa"/>
            <w:bottom w:w="0" w:type="dxa"/>
            <w:right w:w="170" w:type="dxa"/>
          </w:tblCellMar>
        </w:tblPrEx>
        <w:trPr>
          <w:trHeight w:val="244" w:hRule="atLeast"/>
        </w:trPr>
        <w:tc>
          <w:tcPr>
            <w:tcW w:w="6150" w:type="dxa"/>
            <w:gridSpan w:val="2"/>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rPr>
                <w:rFonts w:hint="default" w:ascii="Times New Roman" w:hAnsi="Times New Roman" w:cs="Times New Roman"/>
                <w:color w:val="000000"/>
                <w:kern w:val="2"/>
                <w:sz w:val="20"/>
                <w:szCs w:val="20"/>
              </w:rPr>
            </w:pPr>
            <w:r>
              <w:rPr>
                <w:rFonts w:hint="default" w:ascii="Times New Roman" w:hAnsi="Times New Roman" w:cs="Times New Roman"/>
                <w:kern w:val="2"/>
                <w:sz w:val="20"/>
                <w:szCs w:val="20"/>
              </w:rPr>
              <w:t>公开部门</w:t>
            </w:r>
            <w:r>
              <w:rPr>
                <w:rFonts w:hint="default" w:ascii="Times New Roman" w:hAnsi="Times New Roman" w:cs="Times New Roman"/>
                <w:color w:val="000000"/>
                <w:kern w:val="2"/>
                <w:sz w:val="20"/>
                <w:szCs w:val="20"/>
              </w:rPr>
              <w:t xml:space="preserve">： </w:t>
            </w:r>
            <w:r>
              <w:rPr>
                <w:rFonts w:hint="default" w:ascii="Times New Roman" w:hAnsi="Times New Roman" w:cs="Times New Roman"/>
                <w:color w:val="000000"/>
                <w:sz w:val="20"/>
                <w:u w:color="auto"/>
              </w:rPr>
              <w:t>重庆市秀山土家族苗族自治县发展和改革委员会</w:t>
            </w:r>
          </w:p>
        </w:tc>
        <w:tc>
          <w:tcPr>
            <w:tcW w:w="2093"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rPr>
                <w:rFonts w:hint="default" w:ascii="Times New Roman" w:hAnsi="Times New Roman" w:cs="Times New Roman"/>
                <w:color w:val="000000"/>
                <w:kern w:val="2"/>
                <w:sz w:val="20"/>
                <w:szCs w:val="20"/>
              </w:rPr>
            </w:pPr>
          </w:p>
        </w:tc>
        <w:tc>
          <w:tcPr>
            <w:tcW w:w="4482"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rPr>
                <w:rFonts w:hint="default" w:ascii="Times New Roman" w:hAnsi="Times New Roman" w:cs="Times New Roman"/>
                <w:color w:val="000000"/>
                <w:kern w:val="2"/>
                <w:sz w:val="20"/>
                <w:szCs w:val="20"/>
              </w:rPr>
            </w:pPr>
          </w:p>
        </w:tc>
        <w:tc>
          <w:tcPr>
            <w:tcW w:w="2137"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kern w:val="2"/>
                <w:sz w:val="20"/>
                <w:szCs w:val="20"/>
              </w:rPr>
            </w:pPr>
            <w:r>
              <w:rPr>
                <w:rFonts w:hint="default" w:ascii="Times New Roman" w:hAnsi="Times New Roman" w:cs="Times New Roman"/>
                <w:color w:val="000000"/>
                <w:kern w:val="2"/>
                <w:sz w:val="20"/>
                <w:szCs w:val="20"/>
              </w:rPr>
              <w:t>单位：</w:t>
            </w:r>
            <w:r>
              <w:rPr>
                <w:rFonts w:hint="default" w:ascii="Times New Roman" w:hAnsi="Times New Roman" w:cs="Times New Roman"/>
                <w:kern w:val="2"/>
                <w:sz w:val="20"/>
                <w:szCs w:val="20"/>
              </w:rPr>
              <w:t>万元</w:t>
            </w:r>
          </w:p>
        </w:tc>
      </w:tr>
      <w:tr>
        <w:tblPrEx>
          <w:tblLayout w:type="fixed"/>
          <w:tblCellMar>
            <w:top w:w="0" w:type="dxa"/>
            <w:left w:w="170" w:type="dxa"/>
            <w:bottom w:w="0" w:type="dxa"/>
            <w:right w:w="170" w:type="dxa"/>
          </w:tblCellMar>
        </w:tblPrEx>
        <w:trPr>
          <w:trHeight w:val="28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项  目</w:t>
            </w:r>
          </w:p>
        </w:tc>
        <w:tc>
          <w:tcPr>
            <w:tcW w:w="2146"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预算数</w:t>
            </w:r>
          </w:p>
        </w:tc>
        <w:tc>
          <w:tcPr>
            <w:tcW w:w="2093"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决算数</w:t>
            </w:r>
          </w:p>
        </w:tc>
        <w:tc>
          <w:tcPr>
            <w:tcW w:w="4482"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项  目</w:t>
            </w:r>
          </w:p>
        </w:tc>
        <w:tc>
          <w:tcPr>
            <w:tcW w:w="2137"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决算数</w:t>
            </w:r>
          </w:p>
        </w:tc>
      </w:tr>
      <w:tr>
        <w:tblPrEx>
          <w:tblLayout w:type="fixed"/>
          <w:tblCellMar>
            <w:top w:w="0" w:type="dxa"/>
            <w:left w:w="170" w:type="dxa"/>
            <w:bottom w:w="0" w:type="dxa"/>
            <w:right w:w="170" w:type="dxa"/>
          </w:tblCellMar>
        </w:tblPrEx>
        <w:trPr>
          <w:trHeight w:val="28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一、“三公”经费支出</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w:t>
            </w:r>
          </w:p>
        </w:tc>
        <w:tc>
          <w:tcPr>
            <w:tcW w:w="4482"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四、机关运行经费</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208.44</w:t>
            </w:r>
            <w:r>
              <w:rPr>
                <w:rFonts w:hint="default" w:ascii="Times New Roman" w:hAnsi="Times New Roman" w:cs="Times New Roman"/>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（一）支出合计</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59.14</w:t>
            </w:r>
            <w:r>
              <w:rPr>
                <w:rFonts w:hint="default" w:ascii="Times New Roman" w:hAnsi="Times New Roman" w:cs="Times New Roman"/>
                <w:color w:val="000000"/>
                <w:sz w:val="16"/>
                <w:u w:color="auto"/>
              </w:rPr>
              <w:t xml:space="preserve"> </w:t>
            </w:r>
          </w:p>
        </w:tc>
        <w:tc>
          <w:tcPr>
            <w:tcW w:w="20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59.14</w:t>
            </w:r>
            <w:r>
              <w:rPr>
                <w:rFonts w:hint="default" w:ascii="Times New Roman" w:hAnsi="Times New Roman" w:cs="Times New Roman"/>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（一）行政单位</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196.70</w:t>
            </w:r>
            <w:r>
              <w:rPr>
                <w:rFonts w:hint="default" w:ascii="Times New Roman" w:hAnsi="Times New Roman" w:cs="Times New Roman"/>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1．因公出国（境）费</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sz w:val="16"/>
                <w:u w:color="auto"/>
              </w:rPr>
              <w:t xml:space="preserve"> </w:t>
            </w:r>
          </w:p>
        </w:tc>
        <w:tc>
          <w:tcPr>
            <w:tcW w:w="20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（二）参照公务员法管理事业单位</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11.74</w:t>
            </w:r>
            <w:r>
              <w:rPr>
                <w:rFonts w:hint="default" w:ascii="Times New Roman" w:hAnsi="Times New Roman" w:cs="Times New Roman"/>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2．公务用车购置及运行维护费</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53.92</w:t>
            </w:r>
            <w:r>
              <w:rPr>
                <w:rFonts w:hint="default" w:ascii="Times New Roman" w:hAnsi="Times New Roman" w:cs="Times New Roman"/>
                <w:color w:val="000000"/>
                <w:sz w:val="16"/>
                <w:u w:color="auto"/>
              </w:rPr>
              <w:t xml:space="preserve"> </w:t>
            </w:r>
          </w:p>
        </w:tc>
        <w:tc>
          <w:tcPr>
            <w:tcW w:w="20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53.92</w:t>
            </w:r>
            <w:r>
              <w:rPr>
                <w:rFonts w:hint="default" w:ascii="Times New Roman" w:hAnsi="Times New Roman" w:cs="Times New Roman"/>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五、资产信息</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w:t>
            </w:r>
          </w:p>
        </w:tc>
      </w:tr>
      <w:tr>
        <w:tblPrEx>
          <w:tblLayout w:type="fixed"/>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（1）公务用车购置费</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44.54</w:t>
            </w:r>
            <w:r>
              <w:rPr>
                <w:rFonts w:hint="default" w:ascii="Times New Roman" w:hAnsi="Times New Roman" w:cs="Times New Roman"/>
                <w:color w:val="000000"/>
                <w:sz w:val="16"/>
                <w:u w:color="auto"/>
              </w:rPr>
              <w:t xml:space="preserve"> </w:t>
            </w:r>
          </w:p>
        </w:tc>
        <w:tc>
          <w:tcPr>
            <w:tcW w:w="20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44.54</w:t>
            </w:r>
            <w:r>
              <w:rPr>
                <w:rFonts w:hint="default" w:ascii="Times New Roman" w:hAnsi="Times New Roman" w:cs="Times New Roman"/>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（一）车辆数合计（辆）</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3</w:t>
            </w:r>
            <w:r>
              <w:rPr>
                <w:rFonts w:hint="default" w:ascii="Times New Roman" w:hAnsi="Times New Roman" w:cs="Times New Roman"/>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（2）公务用车运行维护费</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9.38</w:t>
            </w:r>
            <w:r>
              <w:rPr>
                <w:rFonts w:hint="default" w:ascii="Times New Roman" w:hAnsi="Times New Roman" w:cs="Times New Roman"/>
                <w:color w:val="000000"/>
                <w:sz w:val="16"/>
                <w:u w:color="auto"/>
              </w:rPr>
              <w:t xml:space="preserve"> </w:t>
            </w:r>
          </w:p>
        </w:tc>
        <w:tc>
          <w:tcPr>
            <w:tcW w:w="20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9.38</w:t>
            </w:r>
            <w:r>
              <w:rPr>
                <w:rFonts w:hint="default" w:ascii="Times New Roman" w:hAnsi="Times New Roman" w:cs="Times New Roman"/>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1．副部（省）级及以上领导用车</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3．公务接待费</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5.22</w:t>
            </w:r>
            <w:r>
              <w:rPr>
                <w:rFonts w:hint="default" w:ascii="Times New Roman" w:hAnsi="Times New Roman" w:cs="Times New Roman"/>
                <w:color w:val="000000"/>
                <w:sz w:val="16"/>
                <w:u w:color="auto"/>
              </w:rPr>
              <w:t xml:space="preserve"> </w:t>
            </w:r>
          </w:p>
        </w:tc>
        <w:tc>
          <w:tcPr>
            <w:tcW w:w="20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5.22</w:t>
            </w:r>
            <w:r>
              <w:rPr>
                <w:rFonts w:hint="default" w:ascii="Times New Roman" w:hAnsi="Times New Roman" w:cs="Times New Roman"/>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2．主要领导干部用车</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（1）国内接待费</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5.22</w:t>
            </w:r>
            <w:r>
              <w:rPr>
                <w:rFonts w:hint="default" w:ascii="Times New Roman" w:hAnsi="Times New Roman" w:cs="Times New Roman"/>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3．机要通信用车</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其中：外事接待费</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4．应急保障用车</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3</w:t>
            </w:r>
            <w:r>
              <w:rPr>
                <w:rFonts w:hint="default" w:ascii="Times New Roman" w:hAnsi="Times New Roman" w:cs="Times New Roman"/>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（2）国（境）外接待费</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5．执法执勤用车</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（二）相关统计数</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w:t>
            </w:r>
          </w:p>
        </w:tc>
        <w:tc>
          <w:tcPr>
            <w:tcW w:w="4482"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6．特种专业技术用车</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1．因公出国（境）团组数（个）</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7．离退休干部用车</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2．因公出国（境）人次数（人）</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8．其他用车</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3．公务用车购置数（辆）</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2</w:t>
            </w:r>
            <w:r>
              <w:rPr>
                <w:rFonts w:hint="default" w:ascii="Times New Roman" w:hAnsi="Times New Roman" w:cs="Times New Roman"/>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（二）单价100万元（含）以上设备（不含车辆）</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4．公务用车保有量（辆）</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3</w:t>
            </w:r>
            <w:r>
              <w:rPr>
                <w:rFonts w:hint="default" w:ascii="Times New Roman" w:hAnsi="Times New Roman" w:cs="Times New Roman"/>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六、政府采购支出信息</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w:t>
            </w:r>
          </w:p>
        </w:tc>
      </w:tr>
      <w:tr>
        <w:tblPrEx>
          <w:tblLayout w:type="fixed"/>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5．国内公务接待批次（个）</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55</w:t>
            </w:r>
            <w:r>
              <w:rPr>
                <w:rFonts w:hint="default" w:ascii="Times New Roman" w:hAnsi="Times New Roman" w:cs="Times New Roman"/>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（一）政府采购支出合计</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7.57</w:t>
            </w:r>
            <w:r>
              <w:rPr>
                <w:rFonts w:hint="default" w:ascii="Times New Roman" w:hAnsi="Times New Roman" w:cs="Times New Roman"/>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其中：外事接待批次（个）</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1．政府采购货物支出</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7.57</w:t>
            </w:r>
            <w:r>
              <w:rPr>
                <w:rFonts w:hint="default" w:ascii="Times New Roman" w:hAnsi="Times New Roman" w:cs="Times New Roman"/>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6．国内公务接待人次（人）</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627</w:t>
            </w:r>
            <w:r>
              <w:rPr>
                <w:rFonts w:hint="default" w:ascii="Times New Roman" w:hAnsi="Times New Roman" w:cs="Times New Roman"/>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2．政府采购工程支出</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其中：外事接待人次（人）</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3．政府采购服务支出</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7．国（境）外公务接待批次（个）</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（二）政府采购授予中小企业合同金额</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7.57</w:t>
            </w:r>
            <w:r>
              <w:rPr>
                <w:rFonts w:hint="default" w:ascii="Times New Roman" w:hAnsi="Times New Roman" w:cs="Times New Roman"/>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8．国（境）外公务接待人次（人）</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其中：授予小微企业合同金额</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7.57</w:t>
            </w:r>
            <w:r>
              <w:rPr>
                <w:rFonts w:hint="default" w:ascii="Times New Roman" w:hAnsi="Times New Roman" w:cs="Times New Roman"/>
                <w:color w:val="000000"/>
                <w:sz w:val="16"/>
                <w:u w:color="auto"/>
              </w:rPr>
              <w:t xml:space="preserve"> </w:t>
            </w:r>
          </w:p>
        </w:tc>
      </w:tr>
      <w:tr>
        <w:tblPrEx>
          <w:tblLayout w:type="fixed"/>
          <w:tblCellMar>
            <w:top w:w="0" w:type="dxa"/>
            <w:left w:w="170" w:type="dxa"/>
            <w:bottom w:w="0" w:type="dxa"/>
            <w:right w:w="170" w:type="dxa"/>
          </w:tblCellMar>
        </w:tblPrEx>
        <w:trPr>
          <w:trHeight w:val="286" w:hRule="atLeast"/>
        </w:trPr>
        <w:tc>
          <w:tcPr>
            <w:tcW w:w="4004"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二、会议费</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rPr>
                <w:rFonts w:hint="default" w:ascii="Times New Roman" w:hAnsi="Times New Roman" w:cs="Times New Roman"/>
                <w:color w:val="000000"/>
                <w:kern w:val="2"/>
                <w:sz w:val="16"/>
                <w:szCs w:val="16"/>
              </w:rPr>
            </w:pP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rPr>
                <w:rFonts w:hint="default" w:ascii="Times New Roman" w:hAnsi="Times New Roman" w:cs="Times New Roman"/>
                <w:color w:val="000000"/>
                <w:kern w:val="2"/>
                <w:sz w:val="16"/>
                <w:szCs w:val="16"/>
              </w:rPr>
            </w:pPr>
          </w:p>
        </w:tc>
      </w:tr>
      <w:tr>
        <w:tblPrEx>
          <w:tblLayout w:type="fixed"/>
          <w:tblCellMar>
            <w:top w:w="0" w:type="dxa"/>
            <w:left w:w="170" w:type="dxa"/>
            <w:bottom w:w="0" w:type="dxa"/>
            <w:right w:w="170" w:type="dxa"/>
          </w:tblCellMar>
        </w:tblPrEx>
        <w:trPr>
          <w:trHeight w:val="389" w:hRule="atLeast"/>
        </w:trPr>
        <w:tc>
          <w:tcPr>
            <w:tcW w:w="4004"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三、培训费</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7.19</w:t>
            </w:r>
            <w:r>
              <w:rPr>
                <w:rFonts w:hint="default" w:ascii="Times New Roman" w:hAnsi="Times New Roman" w:cs="Times New Roman"/>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rPr>
                <w:rFonts w:hint="default" w:ascii="Times New Roman" w:hAnsi="Times New Roman" w:cs="Times New Roman"/>
                <w:color w:val="000000"/>
                <w:kern w:val="2"/>
                <w:sz w:val="16"/>
                <w:szCs w:val="16"/>
              </w:rPr>
            </w:pP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rPr>
                <w:rFonts w:hint="default" w:ascii="Times New Roman" w:hAnsi="Times New Roman" w:cs="Times New Roman"/>
                <w:color w:val="000000"/>
                <w:kern w:val="2"/>
                <w:sz w:val="16"/>
                <w:szCs w:val="16"/>
              </w:rPr>
            </w:pPr>
          </w:p>
        </w:tc>
      </w:tr>
    </w:tbl>
    <w:p>
      <w:pPr>
        <w:rPr>
          <w:rFonts w:hint="default" w:ascii="Times New Roman" w:hAnsi="Times New Roman" w:cs="Times New Roman"/>
        </w:rPr>
      </w:pPr>
      <w:r>
        <w:rPr>
          <w:rFonts w:hint="default" w:ascii="Times New Roman" w:hAnsi="Times New Roman" w:cs="Times New Roman"/>
          <w:sz w:val="20"/>
          <w:szCs w:val="20"/>
        </w:rPr>
        <w:t>备注：1.本表反映部门本年度财政拨款“三公”经费支出预决算情况。其中，预算数为“三公”经费全年预算数，反映按规定程序调整后的预算数；决算数为包括本年度财政拨款和以前年度结转资金安排的实际支出。</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rPr>
                              <w:rFonts w:hint="default"/>
                            </w:rPr>
                          </w:pPr>
                          <w:r>
                            <w:fldChar w:fldCharType="begin"/>
                          </w:r>
                          <w:r>
                            <w:instrText xml:space="preserve"> PAGE  \* MERGEFORMAT </w:instrText>
                          </w:r>
                          <w:r>
                            <w:fldChar w:fldCharType="separate"/>
                          </w:r>
                          <w:r>
                            <w:rPr>
                              <w:rFonts w:hint="default"/>
                            </w:rPr>
                            <w:t>- 24 -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pStyle w:val="4"/>
                      <w:rPr>
                        <w:rFonts w:hint="default"/>
                      </w:rPr>
                    </w:pPr>
                    <w:r>
                      <w:fldChar w:fldCharType="begin"/>
                    </w:r>
                    <w:r>
                      <w:instrText xml:space="preserve"> PAGE  \* MERGEFORMAT </w:instrText>
                    </w:r>
                    <w:r>
                      <w:fldChar w:fldCharType="separate"/>
                    </w:r>
                    <w:r>
                      <w:rPr>
                        <w:rFonts w:hint="default"/>
                      </w:rPr>
                      <w:t>- 24 -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25 -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sPgxiRcCAAAZBAAADgAAAAAA&#10;AAABACAAAAAfAQAAZHJzL2Uyb0RvYy54bWxQSwUGAAAAAAYABgBZAQAAqAUAAAAA&#10;">
              <v:fill on="f" focussize="0,0"/>
              <v:stroke on="f" weight="0.5pt"/>
              <v:imagedata o:title=""/>
              <o:lock v:ext="edit" aspectratio="f"/>
              <v:textbox inset="0mm,0mm,0mm,0mm" style="mso-fit-shape-to-text:t;">
                <w:txbxContent>
                  <w:p>
                    <w:pPr>
                      <w:pStyle w:val="4"/>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25 -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4"/>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A1UVNgAAAAKAQAA&#10;DwAAAAAAAAABACAAAAAiAAAAZHJzL2Rvd25yZXYueG1sUEsBAhQAFAAAAAgAh07iQG8zbR0ZAgAA&#10;GAQAAA4AAAAAAAAAAQAgAAAAJwEAAGRycy9lMm9Eb2MueG1sUEsFBgAAAAAGAAYAWQEAALIFAAAA&#10;AA==&#10;">
              <v:fill on="f" focussize="0,0"/>
              <v:stroke on="f" weight="0.5pt"/>
              <v:imagedata o:title=""/>
              <o:lock v:ext="edit" aspectratio="f"/>
              <v:textbox inset="0mm,0mm,0mm,0mm">
                <w:txbxContent>
                  <w:p>
                    <w:pPr>
                      <w:pStyle w:val="4"/>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B54ACB6"/>
    <w:multiLevelType w:val="singleLevel"/>
    <w:tmpl w:val="AB54ACB6"/>
    <w:lvl w:ilvl="0" w:tentative="0">
      <w:start w:val="2"/>
      <w:numFmt w:val="chineseCounting"/>
      <w:suff w:val="nothing"/>
      <w:lvlText w:val="（%1）"/>
      <w:lvlJc w:val="left"/>
      <w:rPr>
        <w:rFonts w:hint="eastAsia"/>
      </w:rPr>
    </w:lvl>
  </w:abstractNum>
  <w:abstractNum w:abstractNumId="1">
    <w:nsid w:val="E8E9DCCB"/>
    <w:multiLevelType w:val="singleLevel"/>
    <w:tmpl w:val="E8E9DCCB"/>
    <w:lvl w:ilvl="0" w:tentative="0">
      <w:start w:val="2"/>
      <w:numFmt w:val="chineseCounting"/>
      <w:suff w:val="nothing"/>
      <w:lvlText w:val="%1、"/>
      <w:lvlJc w:val="left"/>
      <w:rPr>
        <w:rFonts w:hint="eastAsia"/>
      </w:rPr>
    </w:lvl>
  </w:abstractNum>
  <w:abstractNum w:abstractNumId="2">
    <w:nsid w:val="13FC6729"/>
    <w:multiLevelType w:val="singleLevel"/>
    <w:tmpl w:val="13FC6729"/>
    <w:lvl w:ilvl="0" w:tentative="0">
      <w:start w:val="5"/>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0C01CC"/>
    <w:rsid w:val="000D7702"/>
    <w:rsid w:val="002D0E5A"/>
    <w:rsid w:val="002E5443"/>
    <w:rsid w:val="004C12FF"/>
    <w:rsid w:val="00550ABE"/>
    <w:rsid w:val="005B023C"/>
    <w:rsid w:val="006137D7"/>
    <w:rsid w:val="00634FA8"/>
    <w:rsid w:val="0063613A"/>
    <w:rsid w:val="00792285"/>
    <w:rsid w:val="007A0D2E"/>
    <w:rsid w:val="007A3314"/>
    <w:rsid w:val="007B419D"/>
    <w:rsid w:val="00810F13"/>
    <w:rsid w:val="00944711"/>
    <w:rsid w:val="00984852"/>
    <w:rsid w:val="009B67B8"/>
    <w:rsid w:val="00A03B1E"/>
    <w:rsid w:val="00A67739"/>
    <w:rsid w:val="00A820B7"/>
    <w:rsid w:val="00AC5566"/>
    <w:rsid w:val="00B03CCD"/>
    <w:rsid w:val="00B40138"/>
    <w:rsid w:val="00BF5A85"/>
    <w:rsid w:val="00C307F6"/>
    <w:rsid w:val="00C96B11"/>
    <w:rsid w:val="00CC6B99"/>
    <w:rsid w:val="00DF7706"/>
    <w:rsid w:val="00E05175"/>
    <w:rsid w:val="00E654E2"/>
    <w:rsid w:val="00E76362"/>
    <w:rsid w:val="00F137D3"/>
    <w:rsid w:val="00F13C36"/>
    <w:rsid w:val="00F23C68"/>
    <w:rsid w:val="00F32C53"/>
    <w:rsid w:val="00F73F90"/>
    <w:rsid w:val="00F7623D"/>
    <w:rsid w:val="00F8598B"/>
    <w:rsid w:val="01474EBF"/>
    <w:rsid w:val="01F3521E"/>
    <w:rsid w:val="03B87EA0"/>
    <w:rsid w:val="03E3214F"/>
    <w:rsid w:val="044C50BA"/>
    <w:rsid w:val="05BC6D49"/>
    <w:rsid w:val="06194FF1"/>
    <w:rsid w:val="06A2550B"/>
    <w:rsid w:val="06F80EE2"/>
    <w:rsid w:val="07001CCA"/>
    <w:rsid w:val="075678DB"/>
    <w:rsid w:val="079D7CC7"/>
    <w:rsid w:val="08051BCA"/>
    <w:rsid w:val="086C12F4"/>
    <w:rsid w:val="08BA052C"/>
    <w:rsid w:val="08DB07BA"/>
    <w:rsid w:val="0969353F"/>
    <w:rsid w:val="098305D0"/>
    <w:rsid w:val="098A0877"/>
    <w:rsid w:val="0A5C4B69"/>
    <w:rsid w:val="0A86124A"/>
    <w:rsid w:val="0AB54CC0"/>
    <w:rsid w:val="0B9335CE"/>
    <w:rsid w:val="0C7927C4"/>
    <w:rsid w:val="0C9B098C"/>
    <w:rsid w:val="0D673E11"/>
    <w:rsid w:val="0DDA54E4"/>
    <w:rsid w:val="0E3A5F83"/>
    <w:rsid w:val="0E74421A"/>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9079DC"/>
    <w:rsid w:val="189B0D0B"/>
    <w:rsid w:val="18B43F7C"/>
    <w:rsid w:val="194A1770"/>
    <w:rsid w:val="19B906A4"/>
    <w:rsid w:val="1B6F15B6"/>
    <w:rsid w:val="1BAA2EDC"/>
    <w:rsid w:val="1C5C0973"/>
    <w:rsid w:val="1CA55E64"/>
    <w:rsid w:val="1D014A01"/>
    <w:rsid w:val="1D022362"/>
    <w:rsid w:val="1D1B04B0"/>
    <w:rsid w:val="1DBD6767"/>
    <w:rsid w:val="1DC52125"/>
    <w:rsid w:val="1DD26311"/>
    <w:rsid w:val="1E374ACB"/>
    <w:rsid w:val="1E5E27E3"/>
    <w:rsid w:val="1ECF0A66"/>
    <w:rsid w:val="1EF67CA4"/>
    <w:rsid w:val="1F020D3A"/>
    <w:rsid w:val="1F2C5189"/>
    <w:rsid w:val="1F4B0B02"/>
    <w:rsid w:val="1FBB35CD"/>
    <w:rsid w:val="1FCD26AF"/>
    <w:rsid w:val="20642787"/>
    <w:rsid w:val="21556F04"/>
    <w:rsid w:val="22403BD3"/>
    <w:rsid w:val="23DA37D9"/>
    <w:rsid w:val="24B92327"/>
    <w:rsid w:val="24C14514"/>
    <w:rsid w:val="2533755C"/>
    <w:rsid w:val="25791755"/>
    <w:rsid w:val="262401A8"/>
    <w:rsid w:val="26396DF4"/>
    <w:rsid w:val="27167136"/>
    <w:rsid w:val="27B23302"/>
    <w:rsid w:val="29310A5F"/>
    <w:rsid w:val="29C37A35"/>
    <w:rsid w:val="2A076083"/>
    <w:rsid w:val="2A73162E"/>
    <w:rsid w:val="2B167953"/>
    <w:rsid w:val="2B200583"/>
    <w:rsid w:val="2B8209DE"/>
    <w:rsid w:val="2C6762A3"/>
    <w:rsid w:val="2EBF7B3E"/>
    <w:rsid w:val="2EDE1934"/>
    <w:rsid w:val="2FCA4B37"/>
    <w:rsid w:val="2FE029D7"/>
    <w:rsid w:val="2FF06E00"/>
    <w:rsid w:val="30562E26"/>
    <w:rsid w:val="30586FEC"/>
    <w:rsid w:val="30EC7046"/>
    <w:rsid w:val="315F0B22"/>
    <w:rsid w:val="319D022C"/>
    <w:rsid w:val="31C90022"/>
    <w:rsid w:val="31D84415"/>
    <w:rsid w:val="32285F6F"/>
    <w:rsid w:val="32770556"/>
    <w:rsid w:val="329C0913"/>
    <w:rsid w:val="32AA0460"/>
    <w:rsid w:val="3337290D"/>
    <w:rsid w:val="33E31118"/>
    <w:rsid w:val="33EF7674"/>
    <w:rsid w:val="342D7BC6"/>
    <w:rsid w:val="352930DB"/>
    <w:rsid w:val="35573069"/>
    <w:rsid w:val="355F6038"/>
    <w:rsid w:val="358C217E"/>
    <w:rsid w:val="35937598"/>
    <w:rsid w:val="36C9128A"/>
    <w:rsid w:val="372E3953"/>
    <w:rsid w:val="37841E99"/>
    <w:rsid w:val="37BF1123"/>
    <w:rsid w:val="383C3F15"/>
    <w:rsid w:val="38BE4696"/>
    <w:rsid w:val="3939115E"/>
    <w:rsid w:val="39B82A39"/>
    <w:rsid w:val="39C42CA8"/>
    <w:rsid w:val="39DC4FD6"/>
    <w:rsid w:val="39F03D7A"/>
    <w:rsid w:val="39F33306"/>
    <w:rsid w:val="3A2C1C67"/>
    <w:rsid w:val="3B1705E5"/>
    <w:rsid w:val="3B18334B"/>
    <w:rsid w:val="3B36794F"/>
    <w:rsid w:val="3C566AD6"/>
    <w:rsid w:val="3C6A5B02"/>
    <w:rsid w:val="3C8D2B12"/>
    <w:rsid w:val="3CB37472"/>
    <w:rsid w:val="3D2757A1"/>
    <w:rsid w:val="3D3D4FC4"/>
    <w:rsid w:val="3DDF3AB1"/>
    <w:rsid w:val="3E1D0952"/>
    <w:rsid w:val="3E3B6BF6"/>
    <w:rsid w:val="3E42660A"/>
    <w:rsid w:val="3E7555B1"/>
    <w:rsid w:val="3E787ED9"/>
    <w:rsid w:val="3EEC37F3"/>
    <w:rsid w:val="3F032E93"/>
    <w:rsid w:val="3F0527E5"/>
    <w:rsid w:val="3F694D83"/>
    <w:rsid w:val="3F885DCC"/>
    <w:rsid w:val="3FCD675E"/>
    <w:rsid w:val="4004000C"/>
    <w:rsid w:val="40F574B8"/>
    <w:rsid w:val="411B6CE5"/>
    <w:rsid w:val="412070D7"/>
    <w:rsid w:val="41314E40"/>
    <w:rsid w:val="41E0734B"/>
    <w:rsid w:val="426554D0"/>
    <w:rsid w:val="426C1EA8"/>
    <w:rsid w:val="42736402"/>
    <w:rsid w:val="42E86A87"/>
    <w:rsid w:val="43307B09"/>
    <w:rsid w:val="438D0E97"/>
    <w:rsid w:val="43BB152F"/>
    <w:rsid w:val="44C37687"/>
    <w:rsid w:val="45CB699A"/>
    <w:rsid w:val="465B470D"/>
    <w:rsid w:val="469D6AD4"/>
    <w:rsid w:val="471E6C84"/>
    <w:rsid w:val="4748792B"/>
    <w:rsid w:val="475D719D"/>
    <w:rsid w:val="47674801"/>
    <w:rsid w:val="48225EF7"/>
    <w:rsid w:val="488F422B"/>
    <w:rsid w:val="48E36915"/>
    <w:rsid w:val="495C4A24"/>
    <w:rsid w:val="497135DF"/>
    <w:rsid w:val="4A263DF2"/>
    <w:rsid w:val="4A6F6675"/>
    <w:rsid w:val="4B0502DF"/>
    <w:rsid w:val="4B135857"/>
    <w:rsid w:val="4B7951CB"/>
    <w:rsid w:val="4B7C315C"/>
    <w:rsid w:val="4DAC4ACA"/>
    <w:rsid w:val="4DBE01D2"/>
    <w:rsid w:val="4EFC6D10"/>
    <w:rsid w:val="4F0C6BA3"/>
    <w:rsid w:val="4F10477D"/>
    <w:rsid w:val="4F186D58"/>
    <w:rsid w:val="4FEA65B7"/>
    <w:rsid w:val="50F06B6E"/>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6530F5D"/>
    <w:rsid w:val="567700D3"/>
    <w:rsid w:val="56FF7E9E"/>
    <w:rsid w:val="576466B5"/>
    <w:rsid w:val="578867FC"/>
    <w:rsid w:val="5842572D"/>
    <w:rsid w:val="5A3B59D6"/>
    <w:rsid w:val="5AD134D8"/>
    <w:rsid w:val="5B6503B1"/>
    <w:rsid w:val="5C263CE4"/>
    <w:rsid w:val="5C5D2777"/>
    <w:rsid w:val="5CF66BF3"/>
    <w:rsid w:val="5D290C69"/>
    <w:rsid w:val="5F2D4A41"/>
    <w:rsid w:val="60C74F6C"/>
    <w:rsid w:val="61025A59"/>
    <w:rsid w:val="613D5BBC"/>
    <w:rsid w:val="61536C39"/>
    <w:rsid w:val="62944DD7"/>
    <w:rsid w:val="6319381F"/>
    <w:rsid w:val="63236436"/>
    <w:rsid w:val="63C25DC5"/>
    <w:rsid w:val="63C62057"/>
    <w:rsid w:val="64571EF5"/>
    <w:rsid w:val="64FB113D"/>
    <w:rsid w:val="656152C6"/>
    <w:rsid w:val="6587477F"/>
    <w:rsid w:val="658C3A08"/>
    <w:rsid w:val="65C031CA"/>
    <w:rsid w:val="65CE6852"/>
    <w:rsid w:val="66267C04"/>
    <w:rsid w:val="663F505A"/>
    <w:rsid w:val="66967186"/>
    <w:rsid w:val="66EE5541"/>
    <w:rsid w:val="67924660"/>
    <w:rsid w:val="68407834"/>
    <w:rsid w:val="6883293E"/>
    <w:rsid w:val="688412AD"/>
    <w:rsid w:val="68EB1B71"/>
    <w:rsid w:val="69475C96"/>
    <w:rsid w:val="6A3C727B"/>
    <w:rsid w:val="6AAD2300"/>
    <w:rsid w:val="6B474EF5"/>
    <w:rsid w:val="6BBF53FD"/>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6650B0"/>
    <w:rsid w:val="73934AD2"/>
    <w:rsid w:val="750837F0"/>
    <w:rsid w:val="754758CF"/>
    <w:rsid w:val="764F62AB"/>
    <w:rsid w:val="765C45EC"/>
    <w:rsid w:val="768A7619"/>
    <w:rsid w:val="772E1EBA"/>
    <w:rsid w:val="77EB79F7"/>
    <w:rsid w:val="796D60A4"/>
    <w:rsid w:val="79A031D5"/>
    <w:rsid w:val="7A1525F7"/>
    <w:rsid w:val="7B420052"/>
    <w:rsid w:val="7B861484"/>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character" w:default="1" w:styleId="8">
    <w:name w:val="Default Paragraph Font"/>
    <w:semiHidden/>
    <w:unhideWhenUsed/>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Balloon Text"/>
    <w:basedOn w:val="1"/>
    <w:link w:val="16"/>
    <w:qFormat/>
    <w:uiPriority w:val="0"/>
    <w:rPr>
      <w:sz w:val="18"/>
      <w:szCs w:val="18"/>
    </w:rPr>
  </w:style>
  <w:style w:type="paragraph" w:styleId="4">
    <w:name w:val="footer"/>
    <w:basedOn w:val="1"/>
    <w:qFormat/>
    <w:uiPriority w:val="0"/>
    <w:pPr>
      <w:tabs>
        <w:tab w:val="center" w:pos="4153"/>
        <w:tab w:val="right" w:pos="8306"/>
      </w:tabs>
      <w:snapToGrid w:val="0"/>
    </w:pPr>
    <w:rPr>
      <w:sz w:val="18"/>
      <w:szCs w:val="18"/>
    </w:rPr>
  </w:style>
  <w:style w:type="paragraph" w:styleId="5">
    <w:name w:val="header"/>
    <w:basedOn w:val="1"/>
    <w:qFormat/>
    <w:uiPriority w:val="0"/>
    <w:pPr>
      <w:tabs>
        <w:tab w:val="center" w:pos="4153"/>
        <w:tab w:val="right" w:pos="8306"/>
      </w:tabs>
      <w:snapToGrid w:val="0"/>
      <w:jc w:val="center"/>
    </w:pPr>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7">
    <w:name w:val="Normal (Web)"/>
    <w:basedOn w:val="1"/>
    <w:unhideWhenUsed/>
    <w:qFormat/>
    <w:uiPriority w:val="0"/>
    <w:pPr>
      <w:spacing w:before="100" w:beforeAutospacing="1" w:after="100" w:afterAutospacing="1"/>
    </w:pPr>
  </w:style>
  <w:style w:type="character" w:styleId="9">
    <w:name w:val="Strong"/>
    <w:qFormat/>
    <w:uiPriority w:val="0"/>
    <w:rPr>
      <w:b/>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2">
    <w:name w:val="列出段落1"/>
    <w:basedOn w:val="1"/>
    <w:qFormat/>
    <w:uiPriority w:val="99"/>
    <w:pPr>
      <w:ind w:firstLine="420" w:firstLineChars="200"/>
    </w:pPr>
    <w:rPr>
      <w:rFonts w:hint="default"/>
    </w:rPr>
  </w:style>
  <w:style w:type="paragraph" w:customStyle="1" w:styleId="13">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4">
    <w:name w:val="21"/>
    <w:qFormat/>
    <w:uiPriority w:val="0"/>
    <w:rPr>
      <w:rFonts w:hint="default" w:ascii="Wingdings" w:hAnsi="Wingdings" w:cs="Wingdings"/>
      <w:b/>
      <w:bCs/>
    </w:rPr>
  </w:style>
  <w:style w:type="paragraph" w:customStyle="1" w:styleId="15">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6">
    <w:name w:val="批注框文本 Char"/>
    <w:basedOn w:val="8"/>
    <w:link w:val="3"/>
    <w:qFormat/>
    <w:uiPriority w:val="0"/>
    <w:rPr>
      <w:rFonts w:ascii="宋体" w:hAnsi="宋体"/>
      <w:sz w:val="18"/>
      <w:szCs w:val="18"/>
    </w:rPr>
  </w:style>
  <w:style w:type="paragraph" w:customStyle="1" w:styleId="17">
    <w:name w:val="List Paragraph"/>
    <w:qFormat/>
    <w:uiPriority w:val="99"/>
    <w:pPr>
      <w:ind w:firstLine="420" w:firstLineChars="200"/>
    </w:pPr>
    <w:rPr>
      <w:rFonts w:hint="default" w:ascii="宋体" w:hAnsi="宋体" w:eastAsia="宋体" w:cs="Times New Roman"/>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33</Pages>
  <Words>4095</Words>
  <Characters>23348</Characters>
  <Lines>194</Lines>
  <Paragraphs>54</Paragraphs>
  <TotalTime>7</TotalTime>
  <ScaleCrop>false</ScaleCrop>
  <LinksUpToDate>false</LinksUpToDate>
  <CharactersWithSpaces>27389</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2024-10-08T09:15:08Z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y fmtid="{D5CDD505-2E9C-101B-9397-08002B2CF9AE}" pid="3" name="ICV">
    <vt:lpwstr>BB46EABDBB2749749395447164B066B3_12</vt:lpwstr>
  </property>
</Properties>
</file>